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C94D2F" w14:textId="3D785648" w:rsidR="0038136D" w:rsidRDefault="002A625D">
      <w:r>
        <w:t>An Eclectic Faith</w:t>
      </w:r>
    </w:p>
    <w:p w14:paraId="3AB83C84" w14:textId="2F42FC3D" w:rsidR="002A625D" w:rsidRDefault="002A625D">
      <w:r>
        <w:t>Alexander Christensen</w:t>
      </w:r>
    </w:p>
    <w:p w14:paraId="49B54FEC" w14:textId="77777777" w:rsidR="002A625D" w:rsidRDefault="002A625D"/>
    <w:p w14:paraId="6E6E4299" w14:textId="16FDDC8C" w:rsidR="00651434" w:rsidRDefault="00651434">
      <w:r>
        <w:t>~</w:t>
      </w:r>
    </w:p>
    <w:p w14:paraId="4EC4037B" w14:textId="432BBB8D" w:rsidR="002A625D" w:rsidRDefault="002A625D" w:rsidP="002A625D">
      <w:pPr>
        <w:spacing w:line="240" w:lineRule="auto"/>
        <w:ind w:left="720"/>
      </w:pPr>
      <w:r>
        <w:t>O then, is not this real? I say unto you, Yea, because it is light; and whatsoever is light, is good, because it is discernible. (Alma 32.35)</w:t>
      </w:r>
    </w:p>
    <w:p w14:paraId="66A7E7A9" w14:textId="77777777" w:rsidR="002A625D" w:rsidRDefault="002A625D" w:rsidP="002A625D">
      <w:pPr>
        <w:spacing w:line="240" w:lineRule="auto"/>
        <w:ind w:left="720"/>
      </w:pPr>
    </w:p>
    <w:p w14:paraId="0BC6883B" w14:textId="46869653" w:rsidR="002A625D" w:rsidRPr="001C48CE" w:rsidRDefault="002A625D" w:rsidP="002A625D">
      <w:r>
        <w:t>The experience of reading becomes so central to life I find myself mapped out in the pages of books I return to. So it is with Alma, the book with which my reading of scripture, and thus my spiritual life in general, begins and ends.</w:t>
      </w:r>
      <w:r w:rsidR="001C48CE">
        <w:t xml:space="preserve"> (It is only a coincidence, yet one that brings me great pleasure, that the name </w:t>
      </w:r>
      <w:r w:rsidR="001C48CE">
        <w:rPr>
          <w:i/>
          <w:iCs/>
        </w:rPr>
        <w:t xml:space="preserve">Alma </w:t>
      </w:r>
      <w:r w:rsidR="001C48CE">
        <w:t xml:space="preserve">is identical with the Spanish word for “spirit,” </w:t>
      </w:r>
      <w:r w:rsidR="001C48CE">
        <w:rPr>
          <w:i/>
          <w:iCs/>
        </w:rPr>
        <w:t>alma</w:t>
      </w:r>
      <w:r w:rsidR="001C48CE">
        <w:t xml:space="preserve">, from Latin </w:t>
      </w:r>
      <w:r w:rsidR="001C48CE">
        <w:rPr>
          <w:i/>
          <w:iCs/>
        </w:rPr>
        <w:t>anima</w:t>
      </w:r>
      <w:r w:rsidR="001C48CE">
        <w:t>, “spirit, breath.”)</w:t>
      </w:r>
    </w:p>
    <w:p w14:paraId="063DB1B8" w14:textId="4E94CEC5" w:rsidR="002A625D" w:rsidRDefault="002A625D" w:rsidP="002A625D">
      <w:r>
        <w:tab/>
        <w:t>Not an uncommon experience: as a boy making my first attempts at the book, I couldn’t make it through Nephi. Perhaps I wasn’t ready for so much Isaiah, but also Nephi’s self-</w:t>
      </w:r>
      <w:proofErr w:type="spellStart"/>
      <w:r>
        <w:t>copnfidence</w:t>
      </w:r>
      <w:proofErr w:type="spellEnd"/>
      <w:r>
        <w:t>, his persistent sense of his own rightness, did not appeal to me</w:t>
      </w:r>
      <w:r>
        <w:softHyphen/>
        <w:t xml:space="preserve">—this </w:t>
      </w:r>
      <w:proofErr w:type="gramStart"/>
      <w:r>
        <w:t>despite the fact that</w:t>
      </w:r>
      <w:proofErr w:type="gramEnd"/>
      <w:r>
        <w:t xml:space="preserve"> I was at the time very much in the Nephi mode. In my search for God and truth, I wanted clear knowledge, not the complexities of experience, not so much to partake of the fruit of the tree of life like Lehi (1 Ne 8.11) as “to know the interpretation thereof” (1 Ne 11.11).</w:t>
      </w:r>
    </w:p>
    <w:p w14:paraId="75A3C74A" w14:textId="379B63D8" w:rsidR="002A625D" w:rsidRDefault="002A625D" w:rsidP="002A625D">
      <w:r>
        <w:tab/>
      </w:r>
      <w:r w:rsidR="00D40926">
        <w:t>Un-self-consciously p</w:t>
      </w:r>
      <w:r>
        <w:t xml:space="preserve">ut off by Nephi, I obtained the knowledge I was seeking when I skipped the small plates entirely and </w:t>
      </w:r>
      <w:r w:rsidR="00D40926">
        <w:t>began with</w:t>
      </w:r>
      <w:r>
        <w:t xml:space="preserve"> Alma</w:t>
      </w:r>
      <w:r w:rsidR="00D40926">
        <w:t>, particularly chapter</w:t>
      </w:r>
      <w:r>
        <w:t xml:space="preserve"> 32</w:t>
      </w:r>
      <w:r w:rsidR="00D40926">
        <w:t xml:space="preserve">. I desired to believe, tried the experiment, felt the seed sprout and grow within me—enlarge my soul, enlighten my understanding—and my knowledge became “perfect in that thing” (Alma 32.34). I knew the seed was good. But then, laying aside the faith I had exercised in the experiment, I rested in the very “surety” which Alma tries to persuade the </w:t>
      </w:r>
      <w:proofErr w:type="spellStart"/>
      <w:r w:rsidR="00D40926">
        <w:t>Zoramites</w:t>
      </w:r>
      <w:proofErr w:type="spellEnd"/>
      <w:r w:rsidR="00D40926">
        <w:t xml:space="preserve"> to let go of (32.17), that pride and confidence which are the defining feature of their own religious practice (as observed at 31.14–25).</w:t>
      </w:r>
    </w:p>
    <w:p w14:paraId="7F90B068" w14:textId="4A2ED15C" w:rsidR="00D40926" w:rsidRDefault="00D40926" w:rsidP="002A625D">
      <w:r>
        <w:tab/>
        <w:t xml:space="preserve">At this stage, it was other literary experience, non-scriptural, that took me out of myself, freed me from my own notions. In my early teenage years, I learned with Scout of </w:t>
      </w:r>
      <w:r>
        <w:rPr>
          <w:i/>
          <w:iCs/>
        </w:rPr>
        <w:t xml:space="preserve">To Kill </w:t>
      </w:r>
      <w:proofErr w:type="gramStart"/>
      <w:r>
        <w:rPr>
          <w:i/>
          <w:iCs/>
        </w:rPr>
        <w:t>A</w:t>
      </w:r>
      <w:proofErr w:type="gramEnd"/>
      <w:r>
        <w:rPr>
          <w:i/>
          <w:iCs/>
        </w:rPr>
        <w:t xml:space="preserve"> </w:t>
      </w:r>
      <w:proofErr w:type="gramStart"/>
      <w:r>
        <w:rPr>
          <w:i/>
          <w:iCs/>
        </w:rPr>
        <w:t xml:space="preserve">Mockingbird </w:t>
      </w:r>
      <w:r>
        <w:t xml:space="preserve"> that</w:t>
      </w:r>
      <w:proofErr w:type="gramEnd"/>
      <w:r>
        <w:t xml:space="preserve"> “you never really know a man until you stand in his shoes and walk around in them,” and I applied the principle to all my reading. </w:t>
      </w:r>
      <w:r w:rsidR="006D6549">
        <w:t xml:space="preserve">I aligned myself with the stance of </w:t>
      </w:r>
      <w:r w:rsidR="006D6549">
        <w:rPr>
          <w:i/>
          <w:iCs/>
        </w:rPr>
        <w:t>The Great Gatsby</w:t>
      </w:r>
      <w:r w:rsidR="006D6549">
        <w:t xml:space="preserve">’s narrator, reserving judgment even of what I considered to be the grievous sins of that novel’s characters—substance abuse, crime, unfaithfulness, sexual immorality of all kinds. Similarly, when I read Hemingway, I registered his serious faults as one’s which called not for condemnation so much as compassion, though </w:t>
      </w:r>
      <w:proofErr w:type="spellStart"/>
      <w:r w:rsidR="006D6549">
        <w:t>hese</w:t>
      </w:r>
      <w:proofErr w:type="spellEnd"/>
      <w:r w:rsidR="006D6549">
        <w:t xml:space="preserve"> included all those found in </w:t>
      </w:r>
      <w:r w:rsidR="006D6549">
        <w:rPr>
          <w:i/>
          <w:iCs/>
        </w:rPr>
        <w:t>Gatsby</w:t>
      </w:r>
      <w:r w:rsidR="006D6549">
        <w:t xml:space="preserve"> plus macho self-importance and, most shocking to my young mind, a strong dose of nihilism, as in the famous passage from “A Clean, Well-Lighted Place”: </w:t>
      </w:r>
    </w:p>
    <w:p w14:paraId="23A0E78F" w14:textId="097919FD" w:rsidR="006D6549" w:rsidRDefault="006D6549" w:rsidP="006D6549">
      <w:pPr>
        <w:spacing w:line="240" w:lineRule="auto"/>
        <w:ind w:left="720"/>
      </w:pPr>
      <w:r>
        <w:t xml:space="preserve">What did he fear? It was not a fear or dread. It was a nothing that he knew too well. It was all a nothing and a man was a nothing too. It was only that and light was all it needed and a certain cleanness and order. Some lived in it and never felt </w:t>
      </w:r>
      <w:proofErr w:type="gramStart"/>
      <w:r>
        <w:t>it</w:t>
      </w:r>
      <w:proofErr w:type="gramEnd"/>
      <w:r>
        <w:t xml:space="preserve"> but he knew it all was nada y </w:t>
      </w:r>
      <w:proofErr w:type="spellStart"/>
      <w:r>
        <w:t>pues</w:t>
      </w:r>
      <w:proofErr w:type="spellEnd"/>
      <w:r>
        <w:t xml:space="preserve"> nada y nada y </w:t>
      </w:r>
      <w:proofErr w:type="spellStart"/>
      <w:r>
        <w:t>pues</w:t>
      </w:r>
      <w:proofErr w:type="spellEnd"/>
      <w:r>
        <w:t xml:space="preserve"> nada. Our nada who art in nada, nada be thy name thy kingdom nada thy will be nada in nada as it is in nada. Give us this </w:t>
      </w:r>
      <w:proofErr w:type="spellStart"/>
      <w:r>
        <w:t>anda</w:t>
      </w:r>
      <w:proofErr w:type="spellEnd"/>
      <w:r>
        <w:t xml:space="preserve"> our daily nada and nada us our nada as we nada our </w:t>
      </w:r>
      <w:proofErr w:type="spellStart"/>
      <w:r>
        <w:t>nadas</w:t>
      </w:r>
      <w:proofErr w:type="spellEnd"/>
      <w:r>
        <w:t xml:space="preserve"> and nada us not into nada by deliver us from nada; </w:t>
      </w:r>
      <w:proofErr w:type="spellStart"/>
      <w:r>
        <w:t>pues</w:t>
      </w:r>
      <w:proofErr w:type="spellEnd"/>
      <w:r>
        <w:t xml:space="preserve"> nada. Hail nothing full of nothing, nothing is with thee.</w:t>
      </w:r>
    </w:p>
    <w:p w14:paraId="6C9D3901" w14:textId="77777777" w:rsidR="006D6549" w:rsidRDefault="006D6549" w:rsidP="006D6549">
      <w:pPr>
        <w:spacing w:line="240" w:lineRule="auto"/>
        <w:ind w:left="720"/>
      </w:pPr>
    </w:p>
    <w:p w14:paraId="745F1652" w14:textId="047534D7" w:rsidR="00B54E93" w:rsidRDefault="00B54E93" w:rsidP="00B54E93">
      <w:r>
        <w:t>Something told me that this was all very human, marks of the brokenness we all endure, the brokenness which led in Hemingway’s case to the ultimate sorrow of self-annihilation. It was these early literary experiences as much as anything I learned at church, or more so, that prepared me to meet friends with understanding and compassion as they chose paths other than Christian discipleship, often in fits of nihilism.</w:t>
      </w:r>
    </w:p>
    <w:p w14:paraId="78A0BA38" w14:textId="5CD4E35D" w:rsidR="00B54E93" w:rsidRDefault="00B54E93" w:rsidP="00B54E93">
      <w:r>
        <w:tab/>
        <w:t xml:space="preserve">For a long </w:t>
      </w:r>
      <w:proofErr w:type="gramStart"/>
      <w:r>
        <w:t>time</w:t>
      </w:r>
      <w:proofErr w:type="gramEnd"/>
      <w:r>
        <w:t xml:space="preserve"> this somewhat tolerant humanism, born of literary experience, sat uneasily beside my highly confident knowledge of the truth and sufficiency of the gospel message. In my mission farewell talk, for instance, I assured my audience—many of whom had endured cancer and other serious illnesses or were then battling with them, mine being an older ward—that God would certainly heal them if they had sufficient faith, myself having never been close to such infirmities. In my confidence I </w:t>
      </w:r>
      <w:r w:rsidR="00BD0A9D">
        <w:t>failed to address the needs of those I could have loved. Similarly, I arrived at the Guatemala MTC like the angel of Alma 29 ready to baptize the whole nation</w:t>
      </w:r>
      <w:r w:rsidR="0014406D">
        <w:t>, and learned I could do so if I believed, and was encouraged to put a number to my faith. I did believe. I was going to baptize thousands, cleansing them from the soot and the darkness of the apostate shrines we had seen when we visited the Guatemala cathedral as missionaries, only to denigrate and contrast it with the bright lights of the temple.</w:t>
      </w:r>
    </w:p>
    <w:p w14:paraId="4AF6C97D" w14:textId="77777777" w:rsidR="00651434" w:rsidRDefault="00651434" w:rsidP="00B54E93"/>
    <w:p w14:paraId="6515C971" w14:textId="648E87A6" w:rsidR="00337ED8" w:rsidRDefault="00651434" w:rsidP="00B54E93">
      <w:r>
        <w:t>~</w:t>
      </w:r>
    </w:p>
    <w:p w14:paraId="6603A3B4" w14:textId="6E00CE3E" w:rsidR="00773BC5" w:rsidRDefault="00337ED8" w:rsidP="00773BC5">
      <w:pPr>
        <w:spacing w:line="240" w:lineRule="auto"/>
        <w:ind w:left="720"/>
      </w:pPr>
      <w:r>
        <w:t xml:space="preserve">Then is the time when their torments shall be as a lake of fire and brimstone, whose flame </w:t>
      </w:r>
      <w:proofErr w:type="spellStart"/>
      <w:r>
        <w:t>asendeth</w:t>
      </w:r>
      <w:proofErr w:type="spellEnd"/>
      <w:r>
        <w:t xml:space="preserve"> up forever and ever</w:t>
      </w:r>
      <w:r w:rsidR="00773BC5">
        <w:t xml:space="preserve">. (Alma </w:t>
      </w:r>
      <w:r>
        <w:t>12</w:t>
      </w:r>
      <w:r w:rsidR="00773BC5">
        <w:t>.1</w:t>
      </w:r>
      <w:r>
        <w:t>7</w:t>
      </w:r>
      <w:r w:rsidR="00773BC5">
        <w:t>)</w:t>
      </w:r>
    </w:p>
    <w:p w14:paraId="2714D3B9" w14:textId="77777777" w:rsidR="00773BC5" w:rsidRDefault="00773BC5" w:rsidP="00773BC5">
      <w:pPr>
        <w:spacing w:line="240" w:lineRule="auto"/>
        <w:ind w:left="720"/>
      </w:pPr>
    </w:p>
    <w:p w14:paraId="4746E5FD" w14:textId="66766E51" w:rsidR="0014406D" w:rsidRDefault="0014406D" w:rsidP="00337ED8">
      <w:r>
        <w:t>Alma c</w:t>
      </w:r>
      <w:r w:rsidR="00773BC5">
        <w:t>o</w:t>
      </w:r>
      <w:r>
        <w:t>me</w:t>
      </w:r>
      <w:r w:rsidR="00773BC5">
        <w:t>s</w:t>
      </w:r>
      <w:r>
        <w:t xml:space="preserve"> to </w:t>
      </w:r>
      <w:proofErr w:type="spellStart"/>
      <w:r>
        <w:t>Ammonihah</w:t>
      </w:r>
      <w:proofErr w:type="spellEnd"/>
      <w:r>
        <w:t xml:space="preserve"> crying repentance and threatening a fiery damnation for those who reject his message. </w:t>
      </w:r>
      <w:r w:rsidR="00337ED8">
        <w:t xml:space="preserve">The response is angry and violent: the local magistrates order stoning for all male believers, and then, much worse, burn alive all their wives and children. (This would include, one must imagine, the wife and children of Amulek, whom Alma has recently reminded of the faith.) </w:t>
      </w:r>
      <w:r w:rsidR="0073444D">
        <w:t>When the magistrates question Alma and Amulek about their message after the spectacle of the burning, “Alma and Amulek answered him nothing” (Alma 14.17).</w:t>
      </w:r>
    </w:p>
    <w:p w14:paraId="6CE90891" w14:textId="2B0478A9" w:rsidR="00337ED8" w:rsidRDefault="00337ED8" w:rsidP="00337ED8">
      <w:r>
        <w:tab/>
        <w:t>To no one’s surprise but my own, I quickly found on arrival at my first area that I did not actually believe I would baptize thousands. I met with more indifference than I expected—my own and others’—much apparent meaninglessness, and no shortage of outright hostility. I found my own lake of fire and brimstone. There was a Catholic woman who had been making lunch for the missionaries for years</w:t>
      </w:r>
      <w:r w:rsidR="001C48CE">
        <w:t xml:space="preserve">. She had listened to the message many times and occasionally visited the </w:t>
      </w:r>
      <w:proofErr w:type="gramStart"/>
      <w:r w:rsidR="001C48CE">
        <w:t>chapel, but</w:t>
      </w:r>
      <w:proofErr w:type="gramEnd"/>
      <w:r w:rsidR="001C48CE">
        <w:t xml:space="preserve"> never felt motivated to work seriously toward baptism until my companion arrived and she began reading the Book of Mormon with her two kids, praying, and regularly attending church. In another nominal coincidence, she was called Luna, and her face was as round and pale and sorrowful as the moon. Her sorrow came from the father of her children, a pug-looking face of a man who showed up by surprise, sometimes drunk, to punish her and the children in proportion to their efforts at living the gospel. </w:t>
      </w:r>
      <w:r w:rsidR="00EB404E">
        <w:t>She</w:t>
      </w:r>
      <w:r w:rsidR="001C48CE">
        <w:t xml:space="preserve"> and her children were the closest thing we had to a mother and </w:t>
      </w:r>
      <w:r w:rsidR="00EB404E">
        <w:t>siblings</w:t>
      </w:r>
      <w:r w:rsidR="001C48CE">
        <w:t xml:space="preserve">, and there we were like Alma and Amulek watching them burn in </w:t>
      </w:r>
      <w:r w:rsidR="0073444D">
        <w:t xml:space="preserve">a pit of abuse. Was I accomplishing good? Or was my cause of rightness inflicting unnecessary suffering? Like Alma, I was fulfilling what I considered to be the commands of God (remember that an angel directly commands Alma to tell the </w:t>
      </w:r>
      <w:proofErr w:type="spellStart"/>
      <w:r w:rsidR="0073444D">
        <w:t>Ammonihahites</w:t>
      </w:r>
      <w:proofErr w:type="spellEnd"/>
      <w:r w:rsidR="0073444D">
        <w:t xml:space="preserve"> that they must either repent or be destroyed, at Alma 8.16), and yet like Alma all I could do in response to such questions was answer nothing. </w:t>
      </w:r>
    </w:p>
    <w:p w14:paraId="2063816A" w14:textId="77777777" w:rsidR="0073444D" w:rsidRDefault="0073444D" w:rsidP="00337ED8"/>
    <w:p w14:paraId="2CB0A596" w14:textId="0FCD2929" w:rsidR="00651434" w:rsidRDefault="00651434" w:rsidP="00337ED8">
      <w:r>
        <w:t>~</w:t>
      </w:r>
    </w:p>
    <w:p w14:paraId="5AA1EA95" w14:textId="1FFF94B7" w:rsidR="0073444D" w:rsidRDefault="0073444D" w:rsidP="0073444D">
      <w:pPr>
        <w:spacing w:line="240" w:lineRule="auto"/>
        <w:ind w:left="720"/>
      </w:pPr>
      <w:r>
        <w:t xml:space="preserve">O that I were an angel, and could have the wish of mine heart, that I might go forth and speak with the trump of God, with a voice to shake the earth, and cry repentance unto every people! Yea, I would declare unto every soul, as with the voice of thunder, repentance and the plan of redemption, that they should repent and come unto our God, that there might not be more sorrow upon all the face of the earth. But behold, I am a </w:t>
      </w:r>
      <w:proofErr w:type="gramStart"/>
      <w:r>
        <w:t>man, and</w:t>
      </w:r>
      <w:proofErr w:type="gramEnd"/>
      <w:r>
        <w:t xml:space="preserve"> do sin in my wish. (Alma 29: 1–3)</w:t>
      </w:r>
    </w:p>
    <w:p w14:paraId="2B19EAFC" w14:textId="77777777" w:rsidR="0073444D" w:rsidRDefault="0073444D" w:rsidP="0073444D">
      <w:pPr>
        <w:spacing w:line="240" w:lineRule="auto"/>
        <w:ind w:left="720"/>
      </w:pPr>
    </w:p>
    <w:p w14:paraId="230DC25C" w14:textId="21DC1FF6" w:rsidR="00D40926" w:rsidRDefault="0073444D" w:rsidP="002A625D">
      <w:r>
        <w:t xml:space="preserve">As it seems to have done for Alma, this experience and others of the kind led me to reevaluate the rightness of my position, especially after being released from the authority to preach. For the first time I understood the volta in Alma 29.3, and I saw that my own desire to convert thousands was an overstep—not just a desire for personal glory as some great missionary, but a more general arrogation of God’s work to myself. He already “grants unto all nations, of their own nation and tongue, to teach his word, yea, in wisdom, all that he </w:t>
      </w:r>
      <w:proofErr w:type="spellStart"/>
      <w:r>
        <w:t>seeth</w:t>
      </w:r>
      <w:proofErr w:type="spellEnd"/>
      <w:r>
        <w:t xml:space="preserve"> fit that they should have” (Alma 29.8).</w:t>
      </w:r>
      <w:r w:rsidR="00F60733">
        <w:t xml:space="preserve"> This doesn’t mean giving up on evangelization—Alma still goes to preach to the </w:t>
      </w:r>
      <w:proofErr w:type="spellStart"/>
      <w:r w:rsidR="00F60733">
        <w:t>Zoramites</w:t>
      </w:r>
      <w:proofErr w:type="spellEnd"/>
      <w:r w:rsidR="00F60733">
        <w:t xml:space="preserve"> in the following chapters. But the difference in his approach is striking, such that in Alma 32 one almost feels that Alma is teaching his pre-</w:t>
      </w:r>
      <w:proofErr w:type="spellStart"/>
      <w:r w:rsidR="00F60733">
        <w:t>Ammonihah</w:t>
      </w:r>
      <w:proofErr w:type="spellEnd"/>
      <w:r w:rsidR="00F60733">
        <w:t xml:space="preserve"> self as much as he is teaching the </w:t>
      </w:r>
      <w:proofErr w:type="spellStart"/>
      <w:r w:rsidR="00F60733">
        <w:t>Zoramites</w:t>
      </w:r>
      <w:proofErr w:type="spellEnd"/>
      <w:r w:rsidR="00F60733">
        <w:t xml:space="preserve">. Now he urges epistemological humility and openness to new revelation over </w:t>
      </w:r>
      <w:proofErr w:type="spellStart"/>
      <w:r w:rsidR="00F60733">
        <w:t>Zoramite</w:t>
      </w:r>
      <w:proofErr w:type="spellEnd"/>
      <w:r w:rsidR="00F60733">
        <w:t xml:space="preserve"> self-sufficiency and certainty. He recognizes humility as the precondition for receiving the revelatory word, whatever its source—and it is especially significant after the burning pit of </w:t>
      </w:r>
      <w:proofErr w:type="spellStart"/>
      <w:r w:rsidR="00F60733">
        <w:t>Ammonihah</w:t>
      </w:r>
      <w:proofErr w:type="spellEnd"/>
      <w:r w:rsidR="00F60733">
        <w:t xml:space="preserve"> that it may come through men, women, or children (</w:t>
      </w:r>
      <w:r w:rsidR="007718C0">
        <w:t xml:space="preserve">Alma </w:t>
      </w:r>
      <w:r w:rsidR="00F60733">
        <w:t xml:space="preserve">32.33). And how carefully and lovingly he introduces the particular word he wants to impart on this occasion, the message of Christ which had been so controversial in </w:t>
      </w:r>
      <w:proofErr w:type="spellStart"/>
      <w:r w:rsidR="00F60733">
        <w:t>Ammonihah</w:t>
      </w:r>
      <w:proofErr w:type="spellEnd"/>
      <w:r w:rsidR="00F60733">
        <w:t xml:space="preserve">, now not even mentioned till the sermon on the seed is concluded and the people ask in response if they should believe in only one God. Even then, the </w:t>
      </w:r>
      <w:proofErr w:type="gramStart"/>
      <w:r w:rsidR="00F60733">
        <w:t>Son</w:t>
      </w:r>
      <w:proofErr w:type="gramEnd"/>
      <w:r w:rsidR="00F60733">
        <w:t xml:space="preserve"> is introduced indirectly through a quotation from Zenos ostensibly meant to teach about prayer. No more lake of fire and brimstone. </w:t>
      </w:r>
    </w:p>
    <w:p w14:paraId="2EE15686" w14:textId="1BEC8F63" w:rsidR="00F60733" w:rsidRDefault="00F60733" w:rsidP="002A625D">
      <w:r>
        <w:tab/>
        <w:t xml:space="preserve">When I return to Alma’s sermon on the seed now, after a kind of </w:t>
      </w:r>
      <w:proofErr w:type="spellStart"/>
      <w:r>
        <w:t>Ammonihah</w:t>
      </w:r>
      <w:proofErr w:type="spellEnd"/>
      <w:r>
        <w:t xml:space="preserve"> of my own, I find an account of a very different kind of faith from that I found as a boy. </w:t>
      </w:r>
      <w:proofErr w:type="gramStart"/>
      <w:r>
        <w:t>In particular, I</w:t>
      </w:r>
      <w:proofErr w:type="gramEnd"/>
      <w:r>
        <w:t xml:space="preserve"> notice now what happens after the initial experiment. I notice a shift from the first-person singular experiment (“</w:t>
      </w:r>
      <w:r w:rsidR="007718C0">
        <w:t>Ye will say, ‘</w:t>
      </w:r>
      <w:r>
        <w:t>I know that this is a good seed</w:t>
      </w:r>
      <w:r w:rsidR="007718C0">
        <w:t>,’</w:t>
      </w:r>
      <w:r>
        <w:t>”</w:t>
      </w:r>
      <w:r w:rsidR="007718C0">
        <w:t xml:space="preserve"> Alma 32.30</w:t>
      </w:r>
      <w:r>
        <w:t>) to a first-person plural process of cultivation</w:t>
      </w:r>
      <w:proofErr w:type="gramStart"/>
      <w:r>
        <w:t>—“</w:t>
      </w:r>
      <w:proofErr w:type="gramEnd"/>
      <w:r w:rsidR="007718C0">
        <w:t>Ye will say, ‘</w:t>
      </w:r>
      <w:r>
        <w:t>Let us nourish it</w:t>
      </w:r>
      <w:r w:rsidR="007718C0">
        <w:t xml:space="preserve"> with great care’</w:t>
      </w:r>
      <w:r>
        <w:t>”</w:t>
      </w:r>
      <w:r w:rsidR="007718C0">
        <w:t xml:space="preserve"> (Alma 32.37). And I notice this new keyword, </w:t>
      </w:r>
      <w:r w:rsidR="007718C0">
        <w:rPr>
          <w:i/>
          <w:iCs/>
        </w:rPr>
        <w:t>nourish</w:t>
      </w:r>
      <w:r w:rsidR="007718C0">
        <w:t>, repeated eight times in six verses. If the seed is alwa</w:t>
      </w:r>
      <w:r w:rsidR="00EB404E">
        <w:t>ys</w:t>
      </w:r>
      <w:r w:rsidR="007718C0">
        <w:t xml:space="preserve"> in need of nourishment, it is never self-sufficient. But what does this nourishment look like in practice? What is Alma imagining in using the word? I don’t want to get bogged down here in an exegetical argument, but I’m reminded of, and am convinced that Alma had in mind, the other famous arboreal allegory in the Book of Mormon, Zenos’</w:t>
      </w:r>
      <w:r w:rsidR="00EB404E">
        <w:t>s</w:t>
      </w:r>
      <w:r w:rsidR="007718C0">
        <w:t xml:space="preserve"> at Jacob 5, where the first-person plural hortatory is a characteristic refrain (e.g. 5.15, 19, 29, 38, 49, 52, 62) and where </w:t>
      </w:r>
      <w:r w:rsidR="007718C0">
        <w:rPr>
          <w:i/>
          <w:iCs/>
        </w:rPr>
        <w:t>nourish</w:t>
      </w:r>
      <w:r w:rsidR="007718C0">
        <w:t xml:space="preserve"> is also a keyword, insistently repeated (some 22 times in 77 verses). </w:t>
      </w:r>
    </w:p>
    <w:p w14:paraId="201392E2" w14:textId="5D457EB0" w:rsidR="007718C0" w:rsidRDefault="007718C0" w:rsidP="002A625D">
      <w:r>
        <w:tab/>
        <w:t>By alluding to Zenos’</w:t>
      </w:r>
      <w:r w:rsidR="00EB404E">
        <w:t>s</w:t>
      </w:r>
      <w:r>
        <w:t xml:space="preserve"> allegory of the vineyard</w:t>
      </w:r>
      <w:r w:rsidR="00651434">
        <w:t xml:space="preserve"> (a kind of literary grafting)</w:t>
      </w:r>
      <w:r>
        <w:t xml:space="preserve">, Alma plants the individual sapling of the word within a varied landscape of other trees and soils which it must interact and mix with to flourish. The work of nourishing the tree is not gentle or straightforward—one disadvantage of the coincidence </w:t>
      </w:r>
      <w:r w:rsidR="00651434">
        <w:t xml:space="preserve">of our language </w:t>
      </w:r>
      <w:r>
        <w:t xml:space="preserve">that </w:t>
      </w:r>
      <w:r w:rsidRPr="00651434">
        <w:rPr>
          <w:i/>
          <w:iCs/>
        </w:rPr>
        <w:t>nursery</w:t>
      </w:r>
      <w:r>
        <w:t xml:space="preserve"> can be for rather fragile human children or for much more hardy plant life is that we assume a mother’s gentle touch any time we speak of nourishment. No, what Alma imagines for the life of faith, as the word grows into a system, is constant vigilance</w:t>
      </w:r>
      <w:r w:rsidR="00A647F9">
        <w:t xml:space="preserve"> of growth, evaluation of branches and fruit, and sometimes violent care accordingly. Like the favorite tree of Zenos’ allegory, some branches might not work well, may begin to wither and decay, or threaten the entire tree; these must be </w:t>
      </w:r>
      <w:r w:rsidR="00651434">
        <w:t>lopped off</w:t>
      </w:r>
      <w:r w:rsidR="00A647F9">
        <w:t xml:space="preserve">, the tree once again irrigated and fertilized with dung, and often other branches from other trees—that may mean something as proximate as a fellow ward member’s testimony or something as far flung as the wild olive branches in the allegory, borrowings and gatherings from entirely different traditions and cultures—these will be ingrafted in place of the withered branches to nourish the root. Sometimes the process will work and bring good fruit, sometimes results will be mixed, or downright bitter. Then, further </w:t>
      </w:r>
      <w:proofErr w:type="spellStart"/>
      <w:r w:rsidR="00A647F9">
        <w:t>reevalutaion</w:t>
      </w:r>
      <w:proofErr w:type="spellEnd"/>
      <w:r w:rsidR="00A647F9">
        <w:t xml:space="preserve"> and work: “Come, let us go down into the vineyard, that we may labor in the vineyard” (Jacob 5.15), like the Lord of the vineyard, trying everything imaginable to cultivate the fruit of that tree.</w:t>
      </w:r>
    </w:p>
    <w:p w14:paraId="1E372C63" w14:textId="3DCF3D6D" w:rsidR="00337ED8" w:rsidRDefault="00A647F9" w:rsidP="00A647F9">
      <w:r>
        <w:tab/>
        <w:t xml:space="preserve">This is the vision of faith I have now. I am happy to find it in line with statements by Paul, Mormon, Joseph Smith, and Brigham Young about laying hold on every good thing, finding truth in all sources and gathering into one. This vision has allowed me to integrate my literary experience with my spiritual life in a way impossible before; </w:t>
      </w:r>
      <w:proofErr w:type="gramStart"/>
      <w:r>
        <w:t>to a great extent</w:t>
      </w:r>
      <w:proofErr w:type="gramEnd"/>
      <w:r>
        <w:t xml:space="preserve"> this vision of faith entails, provides the cause and impetus for, my literary experience and continued studies in language, cultural history, and literature. There is much good out there yet to be gathered, and God knows my sapling needs nourishment if it is to blossom into eternal life. </w:t>
      </w:r>
    </w:p>
    <w:p w14:paraId="3E8003F3" w14:textId="30752B09" w:rsidR="00D40926" w:rsidRPr="00A647F9" w:rsidRDefault="00D40926" w:rsidP="00A647F9">
      <w:pPr>
        <w:spacing w:line="240" w:lineRule="auto"/>
        <w:ind w:left="720"/>
      </w:pPr>
      <w:proofErr w:type="spellStart"/>
      <w:r>
        <w:rPr>
          <w:lang w:val="el-GR"/>
        </w:rPr>
        <w:t>οὕτω</w:t>
      </w:r>
      <w:proofErr w:type="spellEnd"/>
      <w:r w:rsidRPr="00D40926">
        <w:t xml:space="preserve"> </w:t>
      </w:r>
      <w:r>
        <w:rPr>
          <w:lang w:val="el-GR"/>
        </w:rPr>
        <w:t>τοι</w:t>
      </w:r>
      <w:r w:rsidRPr="00D40926">
        <w:t xml:space="preserve"> </w:t>
      </w:r>
      <w:proofErr w:type="spellStart"/>
      <w:r>
        <w:rPr>
          <w:lang w:val="el-GR"/>
        </w:rPr>
        <w:t>κατὰ</w:t>
      </w:r>
      <w:proofErr w:type="spellEnd"/>
      <w:r w:rsidRPr="00D40926">
        <w:t xml:space="preserve"> </w:t>
      </w:r>
      <w:proofErr w:type="spellStart"/>
      <w:r>
        <w:rPr>
          <w:lang w:val="el-GR"/>
        </w:rPr>
        <w:t>δόξαν</w:t>
      </w:r>
      <w:proofErr w:type="spellEnd"/>
      <w:r w:rsidRPr="00D40926">
        <w:t xml:space="preserve"> </w:t>
      </w:r>
      <w:proofErr w:type="spellStart"/>
      <w:r>
        <w:rPr>
          <w:lang w:val="el-GR"/>
        </w:rPr>
        <w:t>ἔφυ</w:t>
      </w:r>
      <w:proofErr w:type="spellEnd"/>
      <w:r w:rsidRPr="00D40926">
        <w:t xml:space="preserve"> </w:t>
      </w:r>
      <w:r>
        <w:rPr>
          <w:lang w:val="el-GR"/>
        </w:rPr>
        <w:t>τάδε</w:t>
      </w:r>
      <w:r w:rsidRPr="00D40926">
        <w:t xml:space="preserve"> </w:t>
      </w:r>
      <w:proofErr w:type="spellStart"/>
      <w:r>
        <w:rPr>
          <w:lang w:val="el-GR"/>
        </w:rPr>
        <w:t>καί</w:t>
      </w:r>
      <w:proofErr w:type="spellEnd"/>
      <w:r w:rsidRPr="00D40926">
        <w:t xml:space="preserve"> </w:t>
      </w:r>
      <w:r>
        <w:rPr>
          <w:lang w:val="el-GR"/>
        </w:rPr>
        <w:t>νυν</w:t>
      </w:r>
      <w:r w:rsidRPr="00D40926">
        <w:t xml:space="preserve"> </w:t>
      </w:r>
      <w:proofErr w:type="spellStart"/>
      <w:r>
        <w:rPr>
          <w:lang w:val="el-GR"/>
        </w:rPr>
        <w:t>ἔασι</w:t>
      </w:r>
      <w:proofErr w:type="spellEnd"/>
    </w:p>
    <w:p w14:paraId="76C4FD09" w14:textId="77777777" w:rsidR="00A647F9" w:rsidRDefault="00D40926" w:rsidP="00A647F9">
      <w:pPr>
        <w:spacing w:line="240" w:lineRule="auto"/>
        <w:ind w:left="720"/>
      </w:pPr>
      <w:proofErr w:type="spellStart"/>
      <w:r>
        <w:rPr>
          <w:lang w:val="el-GR"/>
        </w:rPr>
        <w:t>καὶ</w:t>
      </w:r>
      <w:proofErr w:type="spellEnd"/>
      <w:r>
        <w:rPr>
          <w:lang w:val="el-GR"/>
        </w:rPr>
        <w:t xml:space="preserve"> </w:t>
      </w:r>
      <w:proofErr w:type="spellStart"/>
      <w:r>
        <w:rPr>
          <w:lang w:val="el-GR"/>
        </w:rPr>
        <w:t>μετέπειτ</w:t>
      </w:r>
      <w:proofErr w:type="spellEnd"/>
      <w:r>
        <w:rPr>
          <w:lang w:val="el-GR"/>
        </w:rPr>
        <w:t xml:space="preserve">᾽ </w:t>
      </w:r>
      <w:proofErr w:type="spellStart"/>
      <w:r>
        <w:rPr>
          <w:lang w:val="el-GR"/>
        </w:rPr>
        <w:t>ἀπὸ</w:t>
      </w:r>
      <w:proofErr w:type="spellEnd"/>
      <w:r>
        <w:rPr>
          <w:lang w:val="el-GR"/>
        </w:rPr>
        <w:t xml:space="preserve"> </w:t>
      </w:r>
      <w:proofErr w:type="spellStart"/>
      <w:r>
        <w:rPr>
          <w:lang w:val="el-GR"/>
        </w:rPr>
        <w:t>τοῦδε</w:t>
      </w:r>
      <w:proofErr w:type="spellEnd"/>
      <w:r>
        <w:rPr>
          <w:lang w:val="el-GR"/>
        </w:rPr>
        <w:t xml:space="preserve"> </w:t>
      </w:r>
      <w:proofErr w:type="spellStart"/>
      <w:r>
        <w:rPr>
          <w:lang w:val="el-GR"/>
        </w:rPr>
        <w:t>τελευτήσουσι</w:t>
      </w:r>
      <w:proofErr w:type="spellEnd"/>
      <w:r>
        <w:rPr>
          <w:lang w:val="el-GR"/>
        </w:rPr>
        <w:t xml:space="preserve"> </w:t>
      </w:r>
      <w:proofErr w:type="spellStart"/>
      <w:r>
        <w:rPr>
          <w:lang w:val="el-GR"/>
        </w:rPr>
        <w:t>τραφέντα</w:t>
      </w:r>
      <w:proofErr w:type="spellEnd"/>
      <w:r>
        <w:rPr>
          <w:lang w:val="el-GR"/>
        </w:rPr>
        <w:t xml:space="preserve">. </w:t>
      </w:r>
    </w:p>
    <w:p w14:paraId="6874F220" w14:textId="77777777" w:rsidR="00651434" w:rsidRPr="00651434" w:rsidRDefault="00651434" w:rsidP="00A647F9">
      <w:pPr>
        <w:spacing w:line="240" w:lineRule="auto"/>
        <w:ind w:left="720"/>
      </w:pPr>
    </w:p>
    <w:p w14:paraId="6CA66D14" w14:textId="59042039" w:rsidR="00A647F9" w:rsidRDefault="00A647F9" w:rsidP="00A647F9">
      <w:pPr>
        <w:spacing w:line="240" w:lineRule="auto"/>
        <w:ind w:left="720"/>
      </w:pPr>
      <w:proofErr w:type="gramStart"/>
      <w:r>
        <w:t>So</w:t>
      </w:r>
      <w:proofErr w:type="gramEnd"/>
      <w:r>
        <w:t xml:space="preserve"> through belief </w:t>
      </w:r>
      <w:r w:rsidR="00651434">
        <w:t xml:space="preserve">these </w:t>
      </w:r>
      <w:r>
        <w:t>sprout</w:t>
      </w:r>
      <w:r w:rsidR="00651434">
        <w:t>ed</w:t>
      </w:r>
      <w:r>
        <w:t xml:space="preserve">, and </w:t>
      </w:r>
      <w:r w:rsidR="00651434">
        <w:t xml:space="preserve">now </w:t>
      </w:r>
      <w:r>
        <w:t>live,</w:t>
      </w:r>
    </w:p>
    <w:p w14:paraId="329080B5" w14:textId="4CC8298D" w:rsidR="00A647F9" w:rsidRPr="00A647F9" w:rsidRDefault="00A647F9" w:rsidP="00A647F9">
      <w:pPr>
        <w:spacing w:line="240" w:lineRule="auto"/>
        <w:ind w:left="720"/>
      </w:pPr>
      <w:r>
        <w:t xml:space="preserve">And as they’re </w:t>
      </w:r>
      <w:proofErr w:type="gramStart"/>
      <w:r>
        <w:t>nourished</w:t>
      </w:r>
      <w:proofErr w:type="gramEnd"/>
      <w:r>
        <w:t xml:space="preserve"> they will reach fulfilment.</w:t>
      </w:r>
    </w:p>
    <w:p w14:paraId="28F1773B" w14:textId="759F2E6D" w:rsidR="00D40926" w:rsidRPr="00D40926" w:rsidRDefault="00D40926" w:rsidP="00A647F9">
      <w:pPr>
        <w:spacing w:line="240" w:lineRule="auto"/>
        <w:ind w:left="720"/>
      </w:pPr>
      <w:r>
        <w:t>(Parmenides of Elea, early 5th c. BC)</w:t>
      </w:r>
    </w:p>
    <w:sectPr w:rsidR="00D40926" w:rsidRPr="00D40926">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279C32" w14:textId="77777777" w:rsidR="009158AA" w:rsidRDefault="009158AA" w:rsidP="004538CE">
      <w:pPr>
        <w:spacing w:line="240" w:lineRule="auto"/>
      </w:pPr>
      <w:r>
        <w:separator/>
      </w:r>
    </w:p>
  </w:endnote>
  <w:endnote w:type="continuationSeparator" w:id="0">
    <w:p w14:paraId="57F23822" w14:textId="77777777" w:rsidR="009158AA" w:rsidRDefault="009158AA" w:rsidP="00453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250192" w14:textId="77777777" w:rsidR="009158AA" w:rsidRDefault="009158AA" w:rsidP="004538CE">
      <w:pPr>
        <w:spacing w:line="240" w:lineRule="auto"/>
      </w:pPr>
      <w:r>
        <w:separator/>
      </w:r>
    </w:p>
  </w:footnote>
  <w:footnote w:type="continuationSeparator" w:id="0">
    <w:p w14:paraId="0B610DDB" w14:textId="77777777" w:rsidR="009158AA" w:rsidRDefault="009158AA" w:rsidP="004538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80254762"/>
      <w:docPartObj>
        <w:docPartGallery w:val="Page Numbers (Top of Page)"/>
        <w:docPartUnique/>
      </w:docPartObj>
    </w:sdtPr>
    <w:sdtContent>
      <w:p w14:paraId="0A8DED67" w14:textId="064BACD3" w:rsidR="004538CE" w:rsidRDefault="004538CE" w:rsidP="0096032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587505" w14:textId="77777777" w:rsidR="004538CE" w:rsidRDefault="004538CE" w:rsidP="004538C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87130415"/>
      <w:docPartObj>
        <w:docPartGallery w:val="Page Numbers (Top of Page)"/>
        <w:docPartUnique/>
      </w:docPartObj>
    </w:sdtPr>
    <w:sdtContent>
      <w:p w14:paraId="2C786D04" w14:textId="085E230C" w:rsidR="004538CE" w:rsidRDefault="004538CE" w:rsidP="0096032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3AD133" w14:textId="77777777" w:rsidR="004538CE" w:rsidRDefault="004538CE" w:rsidP="004538CE">
    <w:pPr>
      <w:pStyle w:val="Header"/>
      <w:ind w:right="36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3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8D"/>
    <w:rsid w:val="0014406D"/>
    <w:rsid w:val="001C48CE"/>
    <w:rsid w:val="002A625D"/>
    <w:rsid w:val="00337ED8"/>
    <w:rsid w:val="0038136D"/>
    <w:rsid w:val="004538CE"/>
    <w:rsid w:val="004C6B47"/>
    <w:rsid w:val="00642412"/>
    <w:rsid w:val="00651434"/>
    <w:rsid w:val="006D6549"/>
    <w:rsid w:val="0073444D"/>
    <w:rsid w:val="0077008D"/>
    <w:rsid w:val="007718C0"/>
    <w:rsid w:val="00773BC5"/>
    <w:rsid w:val="008802E5"/>
    <w:rsid w:val="009158AA"/>
    <w:rsid w:val="0093000D"/>
    <w:rsid w:val="00932891"/>
    <w:rsid w:val="00A10EA7"/>
    <w:rsid w:val="00A647F9"/>
    <w:rsid w:val="00B326BA"/>
    <w:rsid w:val="00B54E93"/>
    <w:rsid w:val="00BD0A9D"/>
    <w:rsid w:val="00C6383F"/>
    <w:rsid w:val="00D40926"/>
    <w:rsid w:val="00D835A1"/>
    <w:rsid w:val="00DB09D1"/>
    <w:rsid w:val="00EB404E"/>
    <w:rsid w:val="00F60733"/>
    <w:rsid w:val="00FE61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043E461"/>
  <w15:chartTrackingRefBased/>
  <w15:docId w15:val="{0AC1884F-89C8-AA48-B27B-F21503F0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ajorBidi"/>
        <w:kern w:val="2"/>
        <w:sz w:val="24"/>
        <w:szCs w:val="24"/>
        <w:lang w:val="en-US" w:eastAsia="en-US" w:bidi="he-IL"/>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08D"/>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77008D"/>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77008D"/>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77008D"/>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77008D"/>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77008D"/>
    <w:pPr>
      <w:keepNext/>
      <w:keepLines/>
      <w:spacing w:before="4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77008D"/>
    <w:pPr>
      <w:keepNext/>
      <w:keepLines/>
      <w:spacing w:before="4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77008D"/>
    <w:pPr>
      <w:keepNext/>
      <w:keepLines/>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77008D"/>
    <w:pPr>
      <w:keepNext/>
      <w:keepLines/>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08D"/>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77008D"/>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77008D"/>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77008D"/>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77008D"/>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77008D"/>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77008D"/>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77008D"/>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77008D"/>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77008D"/>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77008D"/>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77008D"/>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77008D"/>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7700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008D"/>
    <w:rPr>
      <w:i/>
      <w:iCs/>
      <w:color w:val="404040" w:themeColor="text1" w:themeTint="BF"/>
    </w:rPr>
  </w:style>
  <w:style w:type="paragraph" w:styleId="ListParagraph">
    <w:name w:val="List Paragraph"/>
    <w:basedOn w:val="Normal"/>
    <w:uiPriority w:val="34"/>
    <w:qFormat/>
    <w:rsid w:val="0077008D"/>
    <w:pPr>
      <w:ind w:left="720"/>
      <w:contextualSpacing/>
    </w:pPr>
  </w:style>
  <w:style w:type="character" w:styleId="IntenseEmphasis">
    <w:name w:val="Intense Emphasis"/>
    <w:basedOn w:val="DefaultParagraphFont"/>
    <w:uiPriority w:val="21"/>
    <w:qFormat/>
    <w:rsid w:val="0077008D"/>
    <w:rPr>
      <w:i/>
      <w:iCs/>
      <w:color w:val="0F4761" w:themeColor="accent1" w:themeShade="BF"/>
    </w:rPr>
  </w:style>
  <w:style w:type="paragraph" w:styleId="IntenseQuote">
    <w:name w:val="Intense Quote"/>
    <w:basedOn w:val="Normal"/>
    <w:next w:val="Normal"/>
    <w:link w:val="IntenseQuoteChar"/>
    <w:uiPriority w:val="30"/>
    <w:qFormat/>
    <w:rsid w:val="00770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08D"/>
    <w:rPr>
      <w:i/>
      <w:iCs/>
      <w:color w:val="0F4761" w:themeColor="accent1" w:themeShade="BF"/>
    </w:rPr>
  </w:style>
  <w:style w:type="character" w:styleId="IntenseReference">
    <w:name w:val="Intense Reference"/>
    <w:basedOn w:val="DefaultParagraphFont"/>
    <w:uiPriority w:val="32"/>
    <w:qFormat/>
    <w:rsid w:val="0077008D"/>
    <w:rPr>
      <w:b/>
      <w:bCs/>
      <w:smallCaps/>
      <w:color w:val="0F4761" w:themeColor="accent1" w:themeShade="BF"/>
      <w:spacing w:val="5"/>
    </w:rPr>
  </w:style>
  <w:style w:type="character" w:styleId="PlaceholderText">
    <w:name w:val="Placeholder Text"/>
    <w:basedOn w:val="DefaultParagraphFont"/>
    <w:uiPriority w:val="99"/>
    <w:semiHidden/>
    <w:rsid w:val="002A625D"/>
    <w:rPr>
      <w:color w:val="666666"/>
    </w:rPr>
  </w:style>
  <w:style w:type="paragraph" w:styleId="Header">
    <w:name w:val="header"/>
    <w:basedOn w:val="Normal"/>
    <w:link w:val="HeaderChar"/>
    <w:uiPriority w:val="99"/>
    <w:unhideWhenUsed/>
    <w:rsid w:val="004538CE"/>
    <w:pPr>
      <w:tabs>
        <w:tab w:val="center" w:pos="4680"/>
        <w:tab w:val="right" w:pos="9360"/>
      </w:tabs>
      <w:spacing w:line="240" w:lineRule="auto"/>
    </w:pPr>
  </w:style>
  <w:style w:type="character" w:customStyle="1" w:styleId="HeaderChar">
    <w:name w:val="Header Char"/>
    <w:basedOn w:val="DefaultParagraphFont"/>
    <w:link w:val="Header"/>
    <w:uiPriority w:val="99"/>
    <w:rsid w:val="004538CE"/>
  </w:style>
  <w:style w:type="character" w:styleId="PageNumber">
    <w:name w:val="page number"/>
    <w:basedOn w:val="DefaultParagraphFont"/>
    <w:uiPriority w:val="99"/>
    <w:semiHidden/>
    <w:unhideWhenUsed/>
    <w:rsid w:val="00453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1891</Words>
  <Characters>10782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Christensen, Alexander</dc:creator>
  <cp:keywords/>
  <dc:description/>
  <cp:lastModifiedBy>Matthew Wickman</cp:lastModifiedBy>
  <cp:revision>3</cp:revision>
  <dcterms:created xsi:type="dcterms:W3CDTF">2026-07-11T01:43:00Z</dcterms:created>
  <dcterms:modified xsi:type="dcterms:W3CDTF">2026-08-04T15:01:00Z</dcterms:modified>
</cp:coreProperties>
</file>