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1AD6F0"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ARTICLE</w:t>
      </w:r>
    </w:p>
    <w:p w14:paraId="14B47A59"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b/>
          <w:bCs/>
          <w:color w:val="000000"/>
          <w:kern w:val="0"/>
          <w:sz w:val="36"/>
          <w:szCs w:val="36"/>
          <w14:ligatures w14:val="none"/>
        </w:rPr>
        <w:t>Towards a Life of Consecration as a Scholar of Faith</w:t>
      </w:r>
    </w:p>
    <w:p w14:paraId="6AC674E8" w14:textId="77777777" w:rsidR="0070462E" w:rsidRPr="0070462E" w:rsidRDefault="0070462E" w:rsidP="0070462E">
      <w:pPr>
        <w:spacing w:after="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i/>
          <w:iCs/>
          <w:color w:val="000000"/>
          <w:kern w:val="0"/>
          <w14:ligatures w14:val="none"/>
        </w:rPr>
        <w:t>Tiffany Buckingham Barney</w:t>
      </w:r>
    </w:p>
    <w:p w14:paraId="5A7FDA8C"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University of Utah</w:t>
      </w:r>
    </w:p>
    <w:p w14:paraId="75F006D8" w14:textId="77777777" w:rsidR="0070462E" w:rsidRPr="0070462E" w:rsidRDefault="0070462E" w:rsidP="0070462E">
      <w:pPr>
        <w:spacing w:after="0" w:line="240" w:lineRule="auto"/>
        <w:ind w:left="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ABOUT THE AUTHOR</w:t>
      </w:r>
    </w:p>
    <w:p w14:paraId="14439272" w14:textId="77777777" w:rsidR="0070462E" w:rsidRPr="0070462E" w:rsidRDefault="0070462E" w:rsidP="0070462E">
      <w:pPr>
        <w:spacing w:after="200" w:line="240" w:lineRule="auto"/>
        <w:ind w:left="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Tiffany Buckingham Barney is a doctoral candidate in Writing and Rhetoric Studies at the University of Utah. Her scholarship focuses on writing assessment, corpus analysis, writing across the curriculum/continuum, qualitative and quantitative research, and generative AI use for academia and scholarship.</w:t>
      </w:r>
    </w:p>
    <w:p w14:paraId="7F55CA32" w14:textId="77777777" w:rsidR="0070462E" w:rsidRPr="0070462E" w:rsidRDefault="00FB718D" w:rsidP="0070462E">
      <w:pPr>
        <w:spacing w:line="240" w:lineRule="auto"/>
        <w:rPr>
          <w:rFonts w:ascii="Times New Roman" w:eastAsia="Times New Roman" w:hAnsi="Times New Roman" w:cs="Times New Roman"/>
          <w:kern w:val="0"/>
          <w14:ligatures w14:val="none"/>
        </w:rPr>
      </w:pPr>
      <w:r>
        <w:rPr>
          <w:noProof/>
        </w:rPr>
      </w:r>
      <w:r>
        <w:pict w14:anchorId="3B9FC9B6">
          <v:rect id="Horizontal Line 1" o:spid="_x0000_s1029"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193AD581" w14:textId="77777777"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i/>
          <w:iCs/>
          <w:color w:val="000000"/>
          <w:kern w:val="0"/>
          <w14:ligatures w14:val="none"/>
        </w:rPr>
        <w:t>“...I nurture the belief that if we are sensitive to that Spirit, responsive to it, then no matter who we are or where we have been, God can lead us in ways particular to our unique gifts and circumstances, reconciling us through Christ to our Heavenly Parents, in whose presence and likeness we realize our ultimate purpose and destiny” (p. 21).</w:t>
      </w:r>
    </w:p>
    <w:p w14:paraId="011D7ABA" w14:textId="77777777" w:rsidR="0070462E" w:rsidRPr="0070462E" w:rsidRDefault="0070462E" w:rsidP="0070462E">
      <w:pPr>
        <w:spacing w:after="200" w:line="240" w:lineRule="auto"/>
        <w:ind w:firstLine="720"/>
        <w:jc w:val="right"/>
        <w:rPr>
          <w:rFonts w:ascii="Times New Roman" w:eastAsia="Times New Roman" w:hAnsi="Times New Roman" w:cs="Times New Roman"/>
          <w:kern w:val="0"/>
          <w14:ligatures w14:val="none"/>
        </w:rPr>
      </w:pPr>
      <w:r w:rsidRPr="0070462E">
        <w:rPr>
          <w:rFonts w:ascii="Times New Roman" w:eastAsia="Times New Roman" w:hAnsi="Times New Roman" w:cs="Times New Roman"/>
          <w:i/>
          <w:iCs/>
          <w:color w:val="000000"/>
          <w:kern w:val="0"/>
          <w14:ligatures w14:val="none"/>
        </w:rPr>
        <w:t>–Matthew Wickman</w:t>
      </w:r>
    </w:p>
    <w:p w14:paraId="62F9E246" w14:textId="77777777" w:rsidR="0070462E" w:rsidRPr="0070462E" w:rsidRDefault="00FB718D" w:rsidP="0070462E">
      <w:pPr>
        <w:spacing w:line="240" w:lineRule="auto"/>
        <w:rPr>
          <w:rFonts w:ascii="Times New Roman" w:eastAsia="Times New Roman" w:hAnsi="Times New Roman" w:cs="Times New Roman"/>
          <w:kern w:val="0"/>
          <w14:ligatures w14:val="none"/>
        </w:rPr>
      </w:pPr>
      <w:r>
        <w:rPr>
          <w:noProof/>
        </w:rPr>
      </w:r>
      <w:r>
        <w:pict w14:anchorId="4BAD1453">
          <v:rect id="Horizontal Line 2" o:spid="_x0000_s1028"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276A73D2"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b/>
          <w:bCs/>
          <w:color w:val="000000"/>
          <w:kern w:val="0"/>
          <w14:ligatures w14:val="none"/>
        </w:rPr>
        <w:t>Juxtaposition, Integration, Synthesis, Consecration</w:t>
      </w:r>
      <w:r w:rsidRPr="0070462E">
        <w:rPr>
          <w:rFonts w:ascii="Times New Roman" w:eastAsia="Times New Roman" w:hAnsi="Times New Roman" w:cs="Times New Roman"/>
          <w:color w:val="000000"/>
          <w:kern w:val="0"/>
          <w14:ligatures w14:val="none"/>
        </w:rPr>
        <w:tab/>
      </w:r>
    </w:p>
    <w:p w14:paraId="39E9FCCE" w14:textId="56C9B1B7"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Scholars often view the pursuit of scholarship and faith as independent from one another. A secular education rarely includes elements of faith and elements of faith are often kept separate from secular education. Religious institutions of higher education are dedicated to the pursuit of the combination of the </w:t>
      </w:r>
      <w:r w:rsidR="007C487B" w:rsidRPr="0070462E">
        <w:rPr>
          <w:rFonts w:ascii="Times New Roman" w:eastAsia="Times New Roman" w:hAnsi="Times New Roman" w:cs="Times New Roman"/>
          <w:color w:val="000000"/>
          <w:kern w:val="0"/>
          <w14:ligatures w14:val="none"/>
        </w:rPr>
        <w:t>two but</w:t>
      </w:r>
      <w:r w:rsidRPr="0070462E">
        <w:rPr>
          <w:rFonts w:ascii="Times New Roman" w:eastAsia="Times New Roman" w:hAnsi="Times New Roman" w:cs="Times New Roman"/>
          <w:color w:val="000000"/>
          <w:kern w:val="0"/>
          <w14:ligatures w14:val="none"/>
        </w:rPr>
        <w:t xml:space="preserve"> living a life as a person of faith who attends or works at a university that is based on secular teachings can make this combination seem more difficult. Throughout this essay, I will attempt to highlight that this topic is threaded through a number of scholarly articles by those who are working towards it either explicitly or implicitly. </w:t>
      </w:r>
      <w:r w:rsidRPr="0070462E">
        <w:rPr>
          <w:rFonts w:ascii="Segoe UI Historic" w:eastAsia="Times New Roman" w:hAnsi="Segoe UI Historic" w:cs="Segoe UI Historic"/>
          <w:color w:val="000000"/>
          <w:kern w:val="0"/>
          <w14:ligatures w14:val="none"/>
        </w:rPr>
        <w:t>𖤓</w:t>
      </w:r>
      <w:r>
        <w:rPr>
          <w:rFonts w:ascii="Segoe UI Historic" w:eastAsia="Times New Roman" w:hAnsi="Segoe UI Historic" w:cs="Segoe UI Historic"/>
          <w:color w:val="000000"/>
          <w:kern w:val="0"/>
          <w14:ligatures w14:val="none"/>
        </w:rPr>
        <w:t xml:space="preserve"> </w:t>
      </w:r>
      <w:r w:rsidRPr="0070462E">
        <w:rPr>
          <w:rFonts w:ascii="Times New Roman" w:eastAsia="Times New Roman" w:hAnsi="Times New Roman" w:cs="Times New Roman"/>
          <w:color w:val="000000"/>
          <w:kern w:val="0"/>
          <w14:ligatures w14:val="none"/>
        </w:rPr>
        <w:t>As I do so, I plan to use several examples shared by Russell M. Nelson, world-renowned heart surgeon and former president of the Church of Jesus Christ of Latter-day Saints, to exemplify how this kind of combination can be accomplished.</w:t>
      </w:r>
      <w:r>
        <w:rPr>
          <w:rFonts w:ascii="Times New Roman" w:eastAsia="Times New Roman" w:hAnsi="Times New Roman" w:cs="Times New Roman"/>
          <w:color w:val="000000"/>
          <w:kern w:val="0"/>
          <w14:ligatures w14:val="none"/>
        </w:rPr>
        <w:t xml:space="preserve"> I will mark the sections that share President Nelson’s example stories with these stars for the reader’s convenience. This piece can be read by example alone or without example. </w:t>
      </w:r>
      <w:r w:rsidRPr="0070462E">
        <w:rPr>
          <w:rFonts w:ascii="Segoe UI Historic" w:eastAsia="Times New Roman" w:hAnsi="Segoe UI Historic" w:cs="Segoe UI Historic"/>
          <w:color w:val="000000"/>
          <w:kern w:val="0"/>
          <w14:ligatures w14:val="none"/>
        </w:rPr>
        <w:t>𖤓</w:t>
      </w:r>
      <w:r w:rsidRPr="0070462E">
        <w:rPr>
          <w:rFonts w:ascii="Times New Roman" w:eastAsia="Times New Roman" w:hAnsi="Times New Roman" w:cs="Times New Roman"/>
          <w:color w:val="000000"/>
          <w:kern w:val="0"/>
          <w14:ligatures w14:val="none"/>
        </w:rPr>
        <w:t>  </w:t>
      </w:r>
    </w:p>
    <w:p w14:paraId="6094498B" w14:textId="77777777"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One worthy effort at combination includes a sort of juxtaposition, where the two ideas of faith and scholarship are housed side-by-side highlighting their differences. As Lori Branch, a religious and literary scholar, points out, religion has been a part of the secular conversation at institutions only so long as “the relationship between religion and secularism is an arm-wrestling match and religion is slowly forced to the table” (p. 378). Branch argues for the need to include better discussions of religion, and not just as a binary relationship with secularism as it currently is. For Branch, discussing religion is just as valid and necessary as discussing secularism in higher education since secularism is part of the history of religion and vice versa. Her life work and disposition illustrate how this argument of secularism and religion are directly correlated to scholarship and faith in that she is a scholar of faith making such an argument.</w:t>
      </w:r>
    </w:p>
    <w:p w14:paraId="33D64A1D" w14:textId="10D3A3AF"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lastRenderedPageBreak/>
        <w:t xml:space="preserve">Beyond this idea of allowing both secularism and religion in the classroom, integration of scholarship itself and religious teachings can move us toward the type of combination that is true to a scholar of faith. As George Handley suggests, “...intellectual and spiritual growth need to occur in at least some relation to one another” (p. 118). This, Handley suggests, can only be done with the combination of three elements: criticism, compassion, and charity with charity acting as the necessary tension between the other two. For Handley, approaching a spiritually balanced intellectual pursuit by giving equal opportunity for criticism (in the form of critical thinking) and compassion (in the form of seeing through another’s eyes) without letting one overshadow the other can lead to charity. While charity from a secular standpoint is associated with giving to those who are in need and most often doing so because of appreciation for the individual as a human, charity from a standpoint of faith is not only giving or giving with appreciation for </w:t>
      </w:r>
      <w:r w:rsidR="007C487B" w:rsidRPr="0070462E">
        <w:rPr>
          <w:rFonts w:ascii="Times New Roman" w:eastAsia="Times New Roman" w:hAnsi="Times New Roman" w:cs="Times New Roman"/>
          <w:color w:val="000000"/>
          <w:kern w:val="0"/>
          <w14:ligatures w14:val="none"/>
        </w:rPr>
        <w:t>humankind but</w:t>
      </w:r>
      <w:r w:rsidRPr="0070462E">
        <w:rPr>
          <w:rFonts w:ascii="Times New Roman" w:eastAsia="Times New Roman" w:hAnsi="Times New Roman" w:cs="Times New Roman"/>
          <w:color w:val="000000"/>
          <w:kern w:val="0"/>
          <w14:ligatures w14:val="none"/>
        </w:rPr>
        <w:t xml:space="preserve"> giving with an understanding of the love of God for each individual as well and a desire to serve as He directs. For a person of faith, becoming more like the Savior, Jesus Christ, is the ultimate goal and since charity represents attributes of Christ (</w:t>
      </w:r>
      <w:r w:rsidRPr="0070462E">
        <w:rPr>
          <w:rFonts w:ascii="Times New Roman" w:eastAsia="Times New Roman" w:hAnsi="Times New Roman" w:cs="Times New Roman"/>
          <w:i/>
          <w:iCs/>
          <w:color w:val="000000"/>
          <w:kern w:val="0"/>
          <w14:ligatures w14:val="none"/>
        </w:rPr>
        <w:t xml:space="preserve">Holy Bible, King James Version, </w:t>
      </w:r>
      <w:r w:rsidRPr="0070462E">
        <w:rPr>
          <w:rFonts w:ascii="Times New Roman" w:eastAsia="Times New Roman" w:hAnsi="Times New Roman" w:cs="Times New Roman"/>
          <w:color w:val="000000"/>
          <w:kern w:val="0"/>
          <w14:ligatures w14:val="none"/>
        </w:rPr>
        <w:t>1 Corinthians 4-7) and also “the pure love of Christ” (</w:t>
      </w:r>
      <w:r w:rsidRPr="0070462E">
        <w:rPr>
          <w:rFonts w:ascii="Times New Roman" w:eastAsia="Times New Roman" w:hAnsi="Times New Roman" w:cs="Times New Roman"/>
          <w:i/>
          <w:iCs/>
          <w:color w:val="000000"/>
          <w:kern w:val="0"/>
          <w14:ligatures w14:val="none"/>
        </w:rPr>
        <w:t xml:space="preserve">The Book of Mormon, </w:t>
      </w:r>
      <w:r w:rsidRPr="0070462E">
        <w:rPr>
          <w:rFonts w:ascii="Times New Roman" w:eastAsia="Times New Roman" w:hAnsi="Times New Roman" w:cs="Times New Roman"/>
          <w:color w:val="000000"/>
          <w:kern w:val="0"/>
          <w14:ligatures w14:val="none"/>
        </w:rPr>
        <w:t>Moroni 7:47), it is the most direct path we have towards our ultimate goal. </w:t>
      </w:r>
    </w:p>
    <w:p w14:paraId="3EE61499" w14:textId="77777777"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As scholars of faith move towards this ultimate goal of Christlike behavior, a type of synthesis begins, where scholarly teachings and faith can work together as one. Some keys to this type of synthesis are for us to recognize the ways our character education can be tied intrinsically to our faith, our secular knowledge–our own scholarship–can inform our faith and our faith can inform our scholarship, and thus our whole selves can be in a state of synthesis combining all of our different roles in life with our faith. In doing so, we consecrate all of our work to God, allowing us to become closer to the goal of consecrated beings that can be used by God to bless those we know and those we may not know.</w:t>
      </w:r>
    </w:p>
    <w:p w14:paraId="1BB11829" w14:textId="1D4C033C"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Segoe UI Historic" w:eastAsia="Times New Roman" w:hAnsi="Segoe UI Historic" w:cs="Segoe UI Historic"/>
          <w:color w:val="000000"/>
          <w:kern w:val="0"/>
          <w14:ligatures w14:val="none"/>
        </w:rPr>
        <w:t>𖤓</w:t>
      </w:r>
      <w:r>
        <w:rPr>
          <w:rFonts w:ascii="Segoe UI Historic" w:eastAsia="Times New Roman" w:hAnsi="Segoe UI Historic" w:cs="Segoe UI Historic"/>
          <w:color w:val="000000"/>
          <w:kern w:val="0"/>
          <w14:ligatures w14:val="none"/>
        </w:rPr>
        <w:t xml:space="preserve"> </w:t>
      </w:r>
      <w:r w:rsidRPr="0070462E">
        <w:rPr>
          <w:rFonts w:ascii="Times New Roman" w:eastAsia="Times New Roman" w:hAnsi="Times New Roman" w:cs="Times New Roman"/>
          <w:color w:val="000000"/>
          <w:kern w:val="0"/>
          <w14:ligatures w14:val="none"/>
        </w:rPr>
        <w:t>Russell M. Nelson, former president of the Church of Jesus Christ of Latter-day Saints, was an excellent example of the type of synthesis that consecrates character, scholarship, and his whole self. At a number of church conferences he shares examples from his own life that can help members of the church move towards more Christlike behavior. Although his purposes in sharing the stories are somewhat different, these stories can exemplify ways that both our character and our scholarship can be consecrated for the work of God to help people we do and don’t know. President Nelson was a renowned cardiothoracic surgeon who, after his medical degree and while pursuing a PhD at the University of Minnesota, helped as part of the team to develop the first heart-lung machine. He was the first surgeon in Utah to perform open-heart surgery (Honoring Medical Trailblazer and Global Faith Leader Russell M. Nelson). Dr. Nelson worked as a surgeon for around thirty years before being asked to serve as a member of the church’s quorum of the twelve apostles in 1984, becoming Elder Nelson, and later becoming President Nelson as president and prophet of the church in 2018 until his death in 2025. </w:t>
      </w:r>
    </w:p>
    <w:p w14:paraId="73F8A9EB" w14:textId="27680133"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He brought this practice of synthesis with him into the presidency after serving for decades as a general church authority. When deciding </w:t>
      </w:r>
      <w:r>
        <w:rPr>
          <w:rFonts w:ascii="Times New Roman" w:eastAsia="Times New Roman" w:hAnsi="Times New Roman" w:cs="Times New Roman"/>
          <w:color w:val="000000"/>
          <w:kern w:val="0"/>
          <w14:ligatures w14:val="none"/>
        </w:rPr>
        <w:t>on</w:t>
      </w:r>
      <w:r w:rsidRPr="0070462E">
        <w:rPr>
          <w:rFonts w:ascii="Times New Roman" w:eastAsia="Times New Roman" w:hAnsi="Times New Roman" w:cs="Times New Roman"/>
          <w:color w:val="000000"/>
          <w:kern w:val="0"/>
          <w14:ligatures w14:val="none"/>
        </w:rPr>
        <w:t xml:space="preserve"> the counselors he would have join him in his presidency, he interviewed each of the apostles who were options for the positions even though he had been working with them for many years and, as expected, was prayerful about their interaction and his decision. In reference to his interviews, he noted that “Good inspiration is based on good information” (Revelation for the Church; Revelation for Our Lives).</w:t>
      </w:r>
      <w:r>
        <w:rPr>
          <w:rFonts w:ascii="Times New Roman" w:eastAsia="Times New Roman" w:hAnsi="Times New Roman" w:cs="Times New Roman"/>
          <w:color w:val="000000"/>
          <w:kern w:val="0"/>
          <w14:ligatures w14:val="none"/>
        </w:rPr>
        <w:t xml:space="preserve"> </w:t>
      </w:r>
      <w:r w:rsidRPr="0070462E">
        <w:rPr>
          <w:rFonts w:ascii="Segoe UI Historic" w:eastAsia="Times New Roman" w:hAnsi="Segoe UI Historic" w:cs="Segoe UI Historic"/>
          <w:color w:val="000000"/>
          <w:kern w:val="0"/>
          <w14:ligatures w14:val="none"/>
        </w:rPr>
        <w:t>𖤓</w:t>
      </w:r>
    </w:p>
    <w:p w14:paraId="259B9216" w14:textId="77777777"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lastRenderedPageBreak/>
        <w:t>Marrying these ideas of inspiration and information is a prime example of the synthesis of the faithful and the secular, exemplifying a life of a scholar of faith. This is an example of the type of attitude that consecrates all things for the work of God. I would suggest that our characters can be consecrated, our scholarship can be consecrated, and in doing these things, our whole selves can be consecrated to God making us persons of faith in all aspects of our lives.</w:t>
      </w:r>
    </w:p>
    <w:p w14:paraId="5C401741"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b/>
          <w:bCs/>
          <w:color w:val="000000"/>
          <w:kern w:val="0"/>
          <w14:ligatures w14:val="none"/>
        </w:rPr>
        <w:t>Consecrating Our Character</w:t>
      </w:r>
    </w:p>
    <w:p w14:paraId="21C8FA79"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b/>
        <w:t>Theories of virtue ethics as a form of character education have long been part of societal teaching since the very early rhetorician, Enheduanna, who combined spiritual and religious teachings with ethical virtues and, as a first, whose work was likely used to teach others to write. This practice was prevalent in the work of others in different places in different times; Julian of Norwich, for example, whose writing was a combination of revelations and guidance towards ethics was used as an example in religious education for many years. Theories of virtue ethics and character education became foundational to the academy with the work of Greco-Roman rhetoricians like Plato with his values of wisdom, courage, temperance, and justice and Aristotle with his theory of the golden mean, which is the balance between two opposites like Handley’s example above of charity between criticism and compassion. </w:t>
      </w:r>
    </w:p>
    <w:p w14:paraId="363DAFFA"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b/>
        <w:t>Virtue ethics as a form of character education still continues today in the academy, having had some rough patches during the turn of the century, but having more interest in the last decade again (Kristjánsson, p 50-51). Because religion and spirituality are based so heavily on character refinement, I would argue here that including virtue ethics and character education in the academy as an idea that is sterile from spirituality is parallel to Branch’s argument above that secularism is happening in the academy independent of religion, even though its very roots are religion. For early rhetoricians like Enheduanna, the two are inseparable, as one comes about from the other. As Handley suggests, the work of becoming more charitable, and thus more Christlike, includes a refinement of our character. Becoming a scholar of faith then, includes being willing to refine our character in ways that will lead us toward more Christlike, charitable service.</w:t>
      </w:r>
    </w:p>
    <w:p w14:paraId="7794D040" w14:textId="058E4CF0"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Segoe UI Historic" w:eastAsia="Times New Roman" w:hAnsi="Segoe UI Historic" w:cs="Segoe UI Historic"/>
          <w:color w:val="000000"/>
          <w:kern w:val="0"/>
          <w14:ligatures w14:val="none"/>
        </w:rPr>
        <w:t>𖤓</w:t>
      </w:r>
      <w:r>
        <w:rPr>
          <w:rFonts w:ascii="Segoe UI Historic" w:eastAsia="Times New Roman" w:hAnsi="Segoe UI Historic" w:cs="Segoe UI Historic"/>
          <w:color w:val="000000"/>
          <w:kern w:val="0"/>
          <w14:ligatures w14:val="none"/>
        </w:rPr>
        <w:t xml:space="preserve"> </w:t>
      </w:r>
      <w:r w:rsidRPr="0070462E">
        <w:rPr>
          <w:rFonts w:ascii="Times New Roman" w:eastAsia="Times New Roman" w:hAnsi="Times New Roman" w:cs="Times New Roman"/>
          <w:color w:val="000000"/>
          <w:kern w:val="0"/>
          <w14:ligatures w14:val="none"/>
        </w:rPr>
        <w:t>President Nelson serves as a good example of one who not only uses, but develops his character to become more Christlike. During his surgical internship Dr. Nelson assist</w:t>
      </w:r>
      <w:r w:rsidR="007C487B">
        <w:rPr>
          <w:rFonts w:ascii="Times New Roman" w:eastAsia="Times New Roman" w:hAnsi="Times New Roman" w:cs="Times New Roman"/>
          <w:color w:val="000000"/>
          <w:kern w:val="0"/>
          <w14:ligatures w14:val="none"/>
        </w:rPr>
        <w:t>ed</w:t>
      </w:r>
      <w:r w:rsidRPr="0070462E">
        <w:rPr>
          <w:rFonts w:ascii="Times New Roman" w:eastAsia="Times New Roman" w:hAnsi="Times New Roman" w:cs="Times New Roman"/>
          <w:color w:val="000000"/>
          <w:kern w:val="0"/>
          <w14:ligatures w14:val="none"/>
        </w:rPr>
        <w:t xml:space="preserve"> a surgeon who was performing the amputation of a leg full of gangrene, which, in this case, was very infectious. The surgeon became enraged during the difficult surgery because one of the surgical team members made a mistake and the surgeon threw his scalpel that was covered in the patient’s germs. The scalpel landed in Dr. Nelson’s arm. Everyone in the surgery room (except the surgeon) recognized the breach in ethics and the danger of the situation. Luckily, Dr. Nelson did not become infected, but he made a vow to himself at that moment. “</w:t>
      </w:r>
      <w:r w:rsidRPr="0070462E">
        <w:rPr>
          <w:rFonts w:ascii="Times New Roman" w:eastAsia="Times New Roman" w:hAnsi="Times New Roman" w:cs="Times New Roman"/>
          <w:color w:val="000000"/>
          <w:kern w:val="0"/>
          <w:shd w:val="clear" w:color="auto" w:fill="FFFFFF"/>
          <w14:ligatures w14:val="none"/>
        </w:rPr>
        <w:t xml:space="preserve">In that very hour, I promised myself that </w:t>
      </w:r>
      <w:r w:rsidRPr="0070462E">
        <w:rPr>
          <w:rFonts w:ascii="Times New Roman" w:eastAsia="Times New Roman" w:hAnsi="Times New Roman" w:cs="Times New Roman"/>
          <w:i/>
          <w:iCs/>
          <w:color w:val="000000"/>
          <w:kern w:val="0"/>
          <w:shd w:val="clear" w:color="auto" w:fill="FFFFFF"/>
          <w14:ligatures w14:val="none"/>
        </w:rPr>
        <w:t>whatever</w:t>
      </w:r>
      <w:r w:rsidRPr="0070462E">
        <w:rPr>
          <w:rFonts w:ascii="Times New Roman" w:eastAsia="Times New Roman" w:hAnsi="Times New Roman" w:cs="Times New Roman"/>
          <w:color w:val="000000"/>
          <w:kern w:val="0"/>
          <w:shd w:val="clear" w:color="auto" w:fill="FFFFFF"/>
          <w14:ligatures w14:val="none"/>
        </w:rPr>
        <w:t xml:space="preserve"> happened in </w:t>
      </w:r>
      <w:r w:rsidRPr="0070462E">
        <w:rPr>
          <w:rFonts w:ascii="Times New Roman" w:eastAsia="Times New Roman" w:hAnsi="Times New Roman" w:cs="Times New Roman"/>
          <w:i/>
          <w:iCs/>
          <w:color w:val="000000"/>
          <w:kern w:val="0"/>
          <w:shd w:val="clear" w:color="auto" w:fill="FFFFFF"/>
          <w14:ligatures w14:val="none"/>
        </w:rPr>
        <w:t>my</w:t>
      </w:r>
      <w:r w:rsidRPr="0070462E">
        <w:rPr>
          <w:rFonts w:ascii="Times New Roman" w:eastAsia="Times New Roman" w:hAnsi="Times New Roman" w:cs="Times New Roman"/>
          <w:color w:val="000000"/>
          <w:kern w:val="0"/>
          <w:shd w:val="clear" w:color="auto" w:fill="FFFFFF"/>
          <w14:ligatures w14:val="none"/>
        </w:rPr>
        <w:t xml:space="preserve"> operating room, I would </w:t>
      </w:r>
      <w:r w:rsidRPr="0070462E">
        <w:rPr>
          <w:rFonts w:ascii="Times New Roman" w:eastAsia="Times New Roman" w:hAnsi="Times New Roman" w:cs="Times New Roman"/>
          <w:i/>
          <w:iCs/>
          <w:color w:val="000000"/>
          <w:kern w:val="0"/>
          <w:shd w:val="clear" w:color="auto" w:fill="FFFFFF"/>
          <w14:ligatures w14:val="none"/>
        </w:rPr>
        <w:t>never</w:t>
      </w:r>
      <w:r w:rsidRPr="0070462E">
        <w:rPr>
          <w:rFonts w:ascii="Times New Roman" w:eastAsia="Times New Roman" w:hAnsi="Times New Roman" w:cs="Times New Roman"/>
          <w:color w:val="000000"/>
          <w:kern w:val="0"/>
          <w:shd w:val="clear" w:color="auto" w:fill="FFFFFF"/>
          <w14:ligatures w14:val="none"/>
        </w:rPr>
        <w:t xml:space="preserve"> lose control of my emotions. I also vowed that day never to throw anything in anger—whether it be scalpels or words</w:t>
      </w:r>
      <w:r w:rsidRPr="0070462E">
        <w:rPr>
          <w:rFonts w:ascii="Times New Roman" w:eastAsia="Times New Roman" w:hAnsi="Times New Roman" w:cs="Times New Roman"/>
          <w:color w:val="000000"/>
          <w:kern w:val="0"/>
          <w14:ligatures w14:val="none"/>
        </w:rPr>
        <w:t>” (Peacemakers Needed).</w:t>
      </w:r>
    </w:p>
    <w:p w14:paraId="23061D90" w14:textId="77777777"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Dr. Nelson was known for keeping his promise. His legacy at the University of Utah medical school, his alma mater, is for both his scholarly work and his demeanor (Honoring Medical Trailblazer and Global Faith Leader Russell M. Nelson). Others testify that he was always patient and calm during surgeries and while teaching residents. Dr. Lyle Joyce from the division of Adult Cardiac Surgery at the Medical College of Wisconsin shared that, </w:t>
      </w:r>
      <w:r w:rsidRPr="0070462E">
        <w:rPr>
          <w:rFonts w:ascii="Times New Roman" w:eastAsia="Times New Roman" w:hAnsi="Times New Roman" w:cs="Times New Roman"/>
          <w:color w:val="000000"/>
          <w:kern w:val="0"/>
          <w:shd w:val="clear" w:color="auto" w:fill="FFFFFF"/>
          <w14:ligatures w14:val="none"/>
        </w:rPr>
        <w:t xml:space="preserve">"’Dr. Nelson </w:t>
      </w:r>
      <w:r w:rsidRPr="0070462E">
        <w:rPr>
          <w:rFonts w:ascii="Times New Roman" w:eastAsia="Times New Roman" w:hAnsi="Times New Roman" w:cs="Times New Roman"/>
          <w:color w:val="000000"/>
          <w:kern w:val="0"/>
          <w:shd w:val="clear" w:color="auto" w:fill="FFFFFF"/>
          <w14:ligatures w14:val="none"/>
        </w:rPr>
        <w:lastRenderedPageBreak/>
        <w:t>had a way of just calming you down</w:t>
      </w:r>
      <w:r w:rsidRPr="0070462E">
        <w:rPr>
          <w:rFonts w:ascii="Times New Roman" w:eastAsia="Times New Roman" w:hAnsi="Times New Roman" w:cs="Times New Roman"/>
          <w:b/>
          <w:bCs/>
          <w:color w:val="000000"/>
          <w:kern w:val="0"/>
          <w:shd w:val="clear" w:color="auto" w:fill="FFFFFF"/>
          <w14:ligatures w14:val="none"/>
        </w:rPr>
        <w:t>,</w:t>
      </w:r>
      <w:r w:rsidRPr="0070462E">
        <w:rPr>
          <w:rFonts w:ascii="Times New Roman" w:eastAsia="Times New Roman" w:hAnsi="Times New Roman" w:cs="Times New Roman"/>
          <w:color w:val="000000"/>
          <w:kern w:val="0"/>
          <w:shd w:val="clear" w:color="auto" w:fill="FFFFFF"/>
          <w14:ligatures w14:val="none"/>
        </w:rPr>
        <w:t xml:space="preserve"> and even if you made a mistake, he would very carefully explain how you did that wrong, and maybe a…better way would be to do it this way the next time’”</w:t>
      </w:r>
      <w:r w:rsidRPr="0070462E">
        <w:rPr>
          <w:rFonts w:ascii="Times New Roman" w:eastAsia="Times New Roman" w:hAnsi="Times New Roman" w:cs="Times New Roman"/>
          <w:color w:val="000000"/>
          <w:kern w:val="0"/>
          <w14:ligatures w14:val="none"/>
        </w:rPr>
        <w:t xml:space="preserve"> (Joseph, par. 9).</w:t>
      </w:r>
    </w:p>
    <w:p w14:paraId="3CA8EFF5" w14:textId="417EC822"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b/>
        <w:t>This effort towards Christlike behavior is early evidence of President Nelson’s desire to consecrate the development of his own character to God. While religious and/or faithful individuals and scholars in no way have a monopoly on character development and education, the presence of such in the academy allows for a more natural type of synthesis of the development of character alongside faith for a scholar. Dr. Nelson used this type of character education to teach traits in the academy as a trainer of residents, but his lifelong work as a scholar and religious leader show</w:t>
      </w:r>
      <w:r w:rsidR="007C487B">
        <w:rPr>
          <w:rFonts w:ascii="Times New Roman" w:eastAsia="Times New Roman" w:hAnsi="Times New Roman" w:cs="Times New Roman"/>
          <w:color w:val="000000"/>
          <w:kern w:val="0"/>
          <w14:ligatures w14:val="none"/>
        </w:rPr>
        <w:t>s</w:t>
      </w:r>
      <w:r w:rsidRPr="0070462E">
        <w:rPr>
          <w:rFonts w:ascii="Times New Roman" w:eastAsia="Times New Roman" w:hAnsi="Times New Roman" w:cs="Times New Roman"/>
          <w:color w:val="000000"/>
          <w:kern w:val="0"/>
          <w14:ligatures w14:val="none"/>
        </w:rPr>
        <w:t xml:space="preserve"> an even deeper commitment, a consecration of his character to the work of God.</w:t>
      </w:r>
      <w:r>
        <w:rPr>
          <w:rFonts w:ascii="Times New Roman" w:eastAsia="Times New Roman" w:hAnsi="Times New Roman" w:cs="Times New Roman"/>
          <w:color w:val="000000"/>
          <w:kern w:val="0"/>
          <w14:ligatures w14:val="none"/>
        </w:rPr>
        <w:t xml:space="preserve"> </w:t>
      </w:r>
      <w:r w:rsidRPr="0070462E">
        <w:rPr>
          <w:rFonts w:ascii="Segoe UI Historic" w:eastAsia="Times New Roman" w:hAnsi="Segoe UI Historic" w:cs="Segoe UI Historic"/>
          <w:color w:val="000000"/>
          <w:kern w:val="0"/>
          <w14:ligatures w14:val="none"/>
        </w:rPr>
        <w:t>𖤓</w:t>
      </w:r>
    </w:p>
    <w:p w14:paraId="380A7142" w14:textId="7904A019"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As character education finds its way in academia, it can be used as a catalyst for the journey of scholars of faith to educate our character in Christlike ways.</w:t>
      </w:r>
      <w:r>
        <w:rPr>
          <w:rFonts w:ascii="Times New Roman" w:eastAsia="Times New Roman" w:hAnsi="Times New Roman" w:cs="Times New Roman"/>
          <w:color w:val="000000"/>
          <w:kern w:val="0"/>
          <w14:ligatures w14:val="none"/>
        </w:rPr>
        <w:t xml:space="preserve"> Character education is </w:t>
      </w:r>
      <w:r w:rsidR="007C487B">
        <w:rPr>
          <w:rFonts w:ascii="Times New Roman" w:eastAsia="Times New Roman" w:hAnsi="Times New Roman" w:cs="Times New Roman"/>
          <w:color w:val="000000"/>
          <w:kern w:val="0"/>
          <w14:ligatures w14:val="none"/>
        </w:rPr>
        <w:t>already in line with developing character as a religious person, where the goal is to become more like Christ, who exemplifies these virtues.</w:t>
      </w:r>
    </w:p>
    <w:p w14:paraId="03A7AFFF"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b/>
          <w:bCs/>
          <w:color w:val="000000"/>
          <w:kern w:val="0"/>
          <w14:ligatures w14:val="none"/>
        </w:rPr>
        <w:t>Consecrating Our Scholarship</w:t>
      </w:r>
    </w:p>
    <w:p w14:paraId="531773E5" w14:textId="7DAB086B"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b/>
        <w:t xml:space="preserve">Less clear than the synthesis of character education and faith, is the synthesis of scholarship and faith. As Roger Trigg points out, the difference between speculation of universes beyond our knowledge (in a scientific and tangible sense) and any existence requiring faith in an unmeasurable comprehensible reality (unmeasurable by our current understanding), such as a faith in God has been treated differently in different schools of thought. As Trigg notes, “Something that is invisible, intangible, odourless, and leaves no traces might not seem very different from nothing at all. The challenge has always been whether God is like that” (p. 25). Nevertheless, the evidence of faith, from the pragmatic viewpoint, as Trigg points out, would include the ways it influences people’s lives. This line of thinking would make the existence of God irrelevant, but the outcome of believing in God entirely relevant. And still yet, Trigg points out that Fideism looks at whether there is validity in faith claims because of what they are or because of the way people act in accordance </w:t>
      </w:r>
      <w:r w:rsidR="007C487B" w:rsidRPr="0070462E">
        <w:rPr>
          <w:rFonts w:ascii="Times New Roman" w:eastAsia="Times New Roman" w:hAnsi="Times New Roman" w:cs="Times New Roman"/>
          <w:color w:val="000000"/>
          <w:kern w:val="0"/>
          <w14:ligatures w14:val="none"/>
        </w:rPr>
        <w:t>with</w:t>
      </w:r>
      <w:r w:rsidRPr="0070462E">
        <w:rPr>
          <w:rFonts w:ascii="Times New Roman" w:eastAsia="Times New Roman" w:hAnsi="Times New Roman" w:cs="Times New Roman"/>
          <w:color w:val="000000"/>
          <w:kern w:val="0"/>
          <w14:ligatures w14:val="none"/>
        </w:rPr>
        <w:t xml:space="preserve"> them.</w:t>
      </w:r>
    </w:p>
    <w:p w14:paraId="45C6031D" w14:textId="77777777"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These efforts to rationalize faith by exploring evidence of the existence of heaven or God make the integration of faith and secular thought seem to need to justify one another. That need for justification can be an incredibly enticing thought train to follow, especially when considering the way the scriptures describe how the spirit of God can communicate with man: “Whereof the Holy Ghost also is a witness to us…I will put my laws into their hearts, and in their minds will I write them” (</w:t>
      </w:r>
      <w:r w:rsidRPr="0070462E">
        <w:rPr>
          <w:rFonts w:ascii="Times New Roman" w:eastAsia="Times New Roman" w:hAnsi="Times New Roman" w:cs="Times New Roman"/>
          <w:i/>
          <w:iCs/>
          <w:color w:val="000000"/>
          <w:kern w:val="0"/>
          <w14:ligatures w14:val="none"/>
        </w:rPr>
        <w:t xml:space="preserve">Holy Bible, King James Version, </w:t>
      </w:r>
      <w:r w:rsidRPr="0070462E">
        <w:rPr>
          <w:rFonts w:ascii="Times New Roman" w:eastAsia="Times New Roman" w:hAnsi="Times New Roman" w:cs="Times New Roman"/>
          <w:color w:val="000000"/>
          <w:kern w:val="0"/>
          <w14:ligatures w14:val="none"/>
        </w:rPr>
        <w:t>Hebrews 10:15-16) and “Yeah, behold, I will tell you in your mind and in your heart, by the Holy Ghost, which shall come upon you and which shall dwell in your heart” (</w:t>
      </w:r>
      <w:r w:rsidRPr="0070462E">
        <w:rPr>
          <w:rFonts w:ascii="Times New Roman" w:eastAsia="Times New Roman" w:hAnsi="Times New Roman" w:cs="Times New Roman"/>
          <w:i/>
          <w:iCs/>
          <w:color w:val="000000"/>
          <w:kern w:val="0"/>
          <w14:ligatures w14:val="none"/>
        </w:rPr>
        <w:t xml:space="preserve">Doctrine and Covenants, </w:t>
      </w:r>
      <w:r w:rsidRPr="0070462E">
        <w:rPr>
          <w:rFonts w:ascii="Times New Roman" w:eastAsia="Times New Roman" w:hAnsi="Times New Roman" w:cs="Times New Roman"/>
          <w:color w:val="000000"/>
          <w:kern w:val="0"/>
          <w14:ligatures w14:val="none"/>
        </w:rPr>
        <w:t>8:2). Faith connected to the mind suggests that faith and intellect can and should coexist.</w:t>
      </w:r>
    </w:p>
    <w:p w14:paraId="58725117" w14:textId="77777777"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Examples of the pairing of the two are evident in scholars of faith. President Nelson tells a story of a man of faith he knew coming to him for heart surgery. The scans showed that two heart valves were severely damaged and the second, the tricuspid valve, was irreparable and so surgery was not advised. The man assured Dr. Nelson that he had prayed for help and been </w:t>
      </w:r>
      <w:r w:rsidRPr="0070462E">
        <w:rPr>
          <w:rFonts w:ascii="Times New Roman" w:eastAsia="Times New Roman" w:hAnsi="Times New Roman" w:cs="Times New Roman"/>
          <w:color w:val="000000"/>
          <w:kern w:val="0"/>
          <w14:ligatures w14:val="none"/>
        </w:rPr>
        <w:lastRenderedPageBreak/>
        <w:t xml:space="preserve">directed to him. The man stated, “‘The Lord will not reveal to me </w:t>
      </w:r>
      <w:r w:rsidRPr="0070462E">
        <w:rPr>
          <w:rFonts w:ascii="Times New Roman" w:eastAsia="Times New Roman" w:hAnsi="Times New Roman" w:cs="Times New Roman"/>
          <w:i/>
          <w:iCs/>
          <w:color w:val="000000"/>
          <w:kern w:val="0"/>
          <w14:ligatures w14:val="none"/>
        </w:rPr>
        <w:t>how</w:t>
      </w:r>
      <w:r w:rsidRPr="0070462E">
        <w:rPr>
          <w:rFonts w:ascii="Times New Roman" w:eastAsia="Times New Roman" w:hAnsi="Times New Roman" w:cs="Times New Roman"/>
          <w:color w:val="000000"/>
          <w:kern w:val="0"/>
          <w14:ligatures w14:val="none"/>
        </w:rPr>
        <w:t xml:space="preserve"> to repair that second valve, but He can reveal it to you. Your mind is so prepared’” (Sweet Power of Prayer, par. 18).</w:t>
      </w:r>
    </w:p>
    <w:p w14:paraId="349DCC3A" w14:textId="757E2445"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Segoe UI Historic" w:eastAsia="Times New Roman" w:hAnsi="Segoe UI Historic" w:cs="Segoe UI Historic"/>
          <w:color w:val="000000"/>
          <w:kern w:val="0"/>
          <w14:ligatures w14:val="none"/>
        </w:rPr>
        <w:t>𖤓</w:t>
      </w:r>
      <w:r>
        <w:rPr>
          <w:rFonts w:ascii="Segoe UI Historic" w:eastAsia="Times New Roman" w:hAnsi="Segoe UI Historic" w:cs="Segoe UI Historic"/>
          <w:color w:val="000000"/>
          <w:kern w:val="0"/>
          <w14:ligatures w14:val="none"/>
        </w:rPr>
        <w:t xml:space="preserve"> </w:t>
      </w:r>
      <w:r w:rsidRPr="0070462E">
        <w:rPr>
          <w:rFonts w:ascii="Times New Roman" w:eastAsia="Times New Roman" w:hAnsi="Times New Roman" w:cs="Times New Roman"/>
          <w:color w:val="000000"/>
          <w:kern w:val="0"/>
          <w14:ligatures w14:val="none"/>
        </w:rPr>
        <w:t>President Nelson recalled that they prayed in faith together, went forward with the surgery and even upon beginning the surgery, Dr. Nelson did not know what he would do to repair the damaged tricuspid valve. Then, he explained, after he had repaired the first, and made the second viewable, he had a message come to his mind, “‘Reduce the circumference of the ring’” (Sweet Power of Prayer, par. 21). He wasn’t sure how to do that, but an image came to him of precisely how to place sutures to reduce the ring closer to its normal size, thus reducing the leak. The operation was considered a success, both as a successful heart surgery and a successful answer to prayer.</w:t>
      </w:r>
      <w:r>
        <w:rPr>
          <w:rFonts w:ascii="Times New Roman" w:eastAsia="Times New Roman" w:hAnsi="Times New Roman" w:cs="Times New Roman"/>
          <w:color w:val="000000"/>
          <w:kern w:val="0"/>
          <w14:ligatures w14:val="none"/>
        </w:rPr>
        <w:t xml:space="preserve"> </w:t>
      </w:r>
      <w:r w:rsidRPr="0070462E">
        <w:rPr>
          <w:rFonts w:ascii="Segoe UI Historic" w:eastAsia="Times New Roman" w:hAnsi="Segoe UI Historic" w:cs="Segoe UI Historic"/>
          <w:color w:val="000000"/>
          <w:kern w:val="0"/>
          <w14:ligatures w14:val="none"/>
        </w:rPr>
        <w:t>𖤓</w:t>
      </w:r>
    </w:p>
    <w:p w14:paraId="24B0A3FD" w14:textId="2D092D4E"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This example of God using the intellect of an individual to answer prayers of the two who acted in faith illustrates a different kind of evidence than those sought by Trigg’s scholars. God using the scholarship of an individual to give direction in a </w:t>
      </w:r>
      <w:r w:rsidR="007C487B" w:rsidRPr="0070462E">
        <w:rPr>
          <w:rFonts w:ascii="Times New Roman" w:eastAsia="Times New Roman" w:hAnsi="Times New Roman" w:cs="Times New Roman"/>
          <w:color w:val="000000"/>
          <w:kern w:val="0"/>
          <w14:ligatures w14:val="none"/>
        </w:rPr>
        <w:t>real-world</w:t>
      </w:r>
      <w:r w:rsidRPr="0070462E">
        <w:rPr>
          <w:rFonts w:ascii="Times New Roman" w:eastAsia="Times New Roman" w:hAnsi="Times New Roman" w:cs="Times New Roman"/>
          <w:color w:val="000000"/>
          <w:kern w:val="0"/>
          <w14:ligatures w14:val="none"/>
        </w:rPr>
        <w:t xml:space="preserve"> situation takes at least one level of speculation away in that it marries with the reality we experience rather than only the incomprehensible reality we try to explain. This is a powerful example of the ways that faith and scholarship can synthesize for an individual, President Nelson, and for scholars looking for intellectual evidence. This level of synthesis is evidence as well of President Nelson’s consecration of his scholarship to God because of his willingness to pray to God for inspiration in his scholarly endeavors.</w:t>
      </w:r>
    </w:p>
    <w:p w14:paraId="278FEF5D"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b/>
          <w:bCs/>
          <w:color w:val="000000"/>
          <w:kern w:val="0"/>
          <w14:ligatures w14:val="none"/>
        </w:rPr>
        <w:t>Consecrating Our Whole Selves</w:t>
      </w:r>
    </w:p>
    <w:p w14:paraId="57DE7D14" w14:textId="03425BEA"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Segoe UI Historic" w:eastAsia="Times New Roman" w:hAnsi="Segoe UI Historic" w:cs="Segoe UI Historic"/>
          <w:color w:val="000000"/>
          <w:kern w:val="0"/>
          <w14:ligatures w14:val="none"/>
        </w:rPr>
        <w:t>𖤓</w:t>
      </w:r>
      <w:r>
        <w:rPr>
          <w:rFonts w:ascii="Segoe UI Historic" w:eastAsia="Times New Roman" w:hAnsi="Segoe UI Historic" w:cs="Segoe UI Historic"/>
          <w:color w:val="000000"/>
          <w:kern w:val="0"/>
          <w14:ligatures w14:val="none"/>
        </w:rPr>
        <w:t xml:space="preserve"> </w:t>
      </w:r>
      <w:r w:rsidRPr="0070462E">
        <w:rPr>
          <w:rFonts w:ascii="Times New Roman" w:eastAsia="Times New Roman" w:hAnsi="Times New Roman" w:cs="Times New Roman"/>
          <w:color w:val="000000"/>
          <w:kern w:val="0"/>
          <w14:ligatures w14:val="none"/>
        </w:rPr>
        <w:t>Notably, President Nelson was president of the church during the worldwide COVID 19 pandemic and he didn’t shy away from sharing his experience as a medical doctor during this time. In fact, President Nelson boldly announced his medical expertise and paired it with his faith when asking for a worldwide fast praying for relief from the pandemic:</w:t>
      </w:r>
    </w:p>
    <w:p w14:paraId="0D714E3F" w14:textId="77777777" w:rsidR="0070462E" w:rsidRPr="0070462E" w:rsidRDefault="0070462E" w:rsidP="0070462E">
      <w:pPr>
        <w:spacing w:after="200" w:line="240" w:lineRule="auto"/>
        <w:ind w:left="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As a physician and surgeon, I have great admiration for medical professionals, scientists, and ALL who are working around the clock to curb the spread of COVID-19.  </w:t>
      </w:r>
    </w:p>
    <w:p w14:paraId="4ED38287" w14:textId="77777777" w:rsidR="0070462E" w:rsidRPr="0070462E" w:rsidRDefault="0070462E" w:rsidP="0070462E">
      <w:pPr>
        <w:spacing w:after="200" w:line="240" w:lineRule="auto"/>
        <w:ind w:left="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I am also a man of faith, and I know that during these challenging times, we can be strengthened and lifted as we call upon God and His Son, Jesus Christ—the Master Healer (President Russell M. Nelson Extends and Invitation for a Worldwide Fast, par. 1).</w:t>
      </w:r>
      <w:r w:rsidRPr="0070462E">
        <w:rPr>
          <w:rFonts w:ascii="Times New Roman" w:eastAsia="Times New Roman" w:hAnsi="Times New Roman" w:cs="Times New Roman"/>
          <w:color w:val="333333"/>
          <w:kern w:val="0"/>
          <w14:ligatures w14:val="none"/>
        </w:rPr>
        <w:t xml:space="preserve">   </w:t>
      </w:r>
      <w:r w:rsidRPr="0070462E">
        <w:rPr>
          <w:rFonts w:ascii="Times New Roman" w:eastAsia="Times New Roman" w:hAnsi="Times New Roman" w:cs="Times New Roman"/>
          <w:color w:val="000000"/>
          <w:kern w:val="0"/>
          <w14:ligatures w14:val="none"/>
        </w:rPr>
        <w:t> </w:t>
      </w:r>
    </w:p>
    <w:p w14:paraId="2343655D" w14:textId="23CCC26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In this moment, President Nelson demonstrated the way that his whole self was consecrated to God. His character, scholarship, and position as church leader were synthesized together into one, coherent purpose of consecration. He shared his caring disposition that he had developed over the years which lead to appreciation for the work of the medical professionals, scientists, and all who were working on a cure; he shared his understanding of the situation because of his scholarship and work experience; and he shared his positionality as a leader of faith, not only as president of his church, but a representative of a person of faith in Jesus Christ, the Son of God–the Master Healer.</w:t>
      </w:r>
      <w:r>
        <w:rPr>
          <w:rFonts w:ascii="Times New Roman" w:eastAsia="Times New Roman" w:hAnsi="Times New Roman" w:cs="Times New Roman"/>
          <w:color w:val="000000"/>
          <w:kern w:val="0"/>
          <w14:ligatures w14:val="none"/>
        </w:rPr>
        <w:t xml:space="preserve"> </w:t>
      </w:r>
      <w:r w:rsidRPr="0070462E">
        <w:rPr>
          <w:rFonts w:ascii="Segoe UI Historic" w:eastAsia="Times New Roman" w:hAnsi="Segoe UI Historic" w:cs="Segoe UI Historic"/>
          <w:color w:val="000000"/>
          <w:kern w:val="0"/>
          <w14:ligatures w14:val="none"/>
        </w:rPr>
        <w:t>𖤓</w:t>
      </w:r>
      <w:r w:rsidRPr="0070462E">
        <w:rPr>
          <w:rFonts w:ascii="Times New Roman" w:eastAsia="Times New Roman" w:hAnsi="Times New Roman" w:cs="Times New Roman"/>
          <w:color w:val="000000"/>
          <w:kern w:val="0"/>
          <w14:ligatures w14:val="none"/>
        </w:rPr>
        <w:tab/>
      </w:r>
    </w:p>
    <w:p w14:paraId="6B945EF9" w14:textId="4A774315" w:rsidR="0070462E" w:rsidRPr="0070462E" w:rsidRDefault="0070462E" w:rsidP="0070462E">
      <w:pPr>
        <w:spacing w:after="200" w:line="240" w:lineRule="auto"/>
        <w:ind w:firstLine="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Becoming a consecrated self is a journey that </w:t>
      </w:r>
      <w:r w:rsidR="007C487B" w:rsidRPr="0070462E">
        <w:rPr>
          <w:rFonts w:ascii="Times New Roman" w:eastAsia="Times New Roman" w:hAnsi="Times New Roman" w:cs="Times New Roman"/>
          <w:color w:val="000000"/>
          <w:kern w:val="0"/>
          <w14:ligatures w14:val="none"/>
        </w:rPr>
        <w:t>involves</w:t>
      </w:r>
      <w:r w:rsidRPr="0070462E">
        <w:rPr>
          <w:rFonts w:ascii="Times New Roman" w:eastAsia="Times New Roman" w:hAnsi="Times New Roman" w:cs="Times New Roman"/>
          <w:color w:val="000000"/>
          <w:kern w:val="0"/>
          <w14:ligatures w14:val="none"/>
        </w:rPr>
        <w:t xml:space="preserve"> purposeful efforts to synthesize the different aspects of ourselves with our faith. As scholars, this includes our positions and </w:t>
      </w:r>
      <w:r w:rsidRPr="0070462E">
        <w:rPr>
          <w:rFonts w:ascii="Times New Roman" w:eastAsia="Times New Roman" w:hAnsi="Times New Roman" w:cs="Times New Roman"/>
          <w:color w:val="000000"/>
          <w:kern w:val="0"/>
          <w14:ligatures w14:val="none"/>
        </w:rPr>
        <w:lastRenderedPageBreak/>
        <w:t>scholarship. For all of us humankind, that includes our character and as Matthew Wickman suggests, “...our unique gifts and circumstances…” (p. 21), whether that’s academic scholarship or the vast amounts of knowledge we humans gain by other means to bless those around us and many we may not even know. A secular approach to knowledge has great value for helping people in the world through charity, patience, surgery, pandemics and so many other ways. Synthesizing this knowledge with faith in God to the point of consecrating to God and His work can not only help others in real-world situations, but (and perhaps this is the whole point) can help us become better and better humans ourselves. </w:t>
      </w:r>
    </w:p>
    <w:p w14:paraId="360C6D85" w14:textId="77777777" w:rsidR="0070462E" w:rsidRPr="0070462E" w:rsidRDefault="00FB718D" w:rsidP="007C487B">
      <w:pPr>
        <w:spacing w:line="240" w:lineRule="auto"/>
        <w:rPr>
          <w:rFonts w:ascii="Times New Roman" w:eastAsia="Times New Roman" w:hAnsi="Times New Roman" w:cs="Times New Roman"/>
          <w:kern w:val="0"/>
          <w14:ligatures w14:val="none"/>
        </w:rPr>
      </w:pPr>
      <w:r>
        <w:rPr>
          <w:noProof/>
        </w:rPr>
      </w:r>
      <w:r>
        <w:pict w14:anchorId="228E0855">
          <v:rect id="Horizontal Line 3" o:spid="_x0000_s1027"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15D252EC" w14:textId="77777777"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b/>
          <w:bCs/>
          <w:color w:val="000000"/>
          <w:kern w:val="0"/>
          <w:sz w:val="36"/>
          <w:szCs w:val="36"/>
          <w14:ligatures w14:val="none"/>
        </w:rPr>
        <w:t>Acknowledgements</w:t>
      </w:r>
    </w:p>
    <w:p w14:paraId="40C3E5C6" w14:textId="4596B206" w:rsidR="0070462E" w:rsidRPr="0070462E" w:rsidRDefault="0070462E" w:rsidP="0070462E">
      <w:pPr>
        <w:spacing w:after="200" w:line="240" w:lineRule="auto"/>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ab/>
        <w:t xml:space="preserve">I owe a great deal of thanks to many for the inspiration and support for writing this paper. First, I want to thank those who made possible the </w:t>
      </w:r>
      <w:r w:rsidRPr="0070462E">
        <w:rPr>
          <w:rFonts w:ascii="Times New Roman" w:eastAsia="Times New Roman" w:hAnsi="Times New Roman" w:cs="Times New Roman"/>
          <w:i/>
          <w:iCs/>
          <w:color w:val="000000"/>
          <w:kern w:val="0"/>
          <w14:ligatures w14:val="none"/>
        </w:rPr>
        <w:t xml:space="preserve">Humanities and Belief </w:t>
      </w:r>
      <w:r w:rsidRPr="0070462E">
        <w:rPr>
          <w:rFonts w:ascii="Times New Roman" w:eastAsia="Times New Roman" w:hAnsi="Times New Roman" w:cs="Times New Roman"/>
          <w:color w:val="000000"/>
          <w:kern w:val="0"/>
          <w14:ligatures w14:val="none"/>
        </w:rPr>
        <w:t>conference this year at Brigham Young University including the generous donors, Taylor and Tamara Woods, the original organizer, George Handley, and this year’s facilitator, Matthew Wickman</w:t>
      </w:r>
      <w:r w:rsidR="004D413B">
        <w:rPr>
          <w:rFonts w:ascii="Times New Roman" w:eastAsia="Times New Roman" w:hAnsi="Times New Roman" w:cs="Times New Roman"/>
          <w:color w:val="000000"/>
          <w:kern w:val="0"/>
          <w14:ligatures w14:val="none"/>
        </w:rPr>
        <w:t>,</w:t>
      </w:r>
      <w:r w:rsidRPr="0070462E">
        <w:rPr>
          <w:rFonts w:ascii="Times New Roman" w:eastAsia="Times New Roman" w:hAnsi="Times New Roman" w:cs="Times New Roman"/>
          <w:color w:val="000000"/>
          <w:kern w:val="0"/>
          <w14:ligatures w14:val="none"/>
        </w:rPr>
        <w:t xml:space="preserve"> the latter of whom made this opportunity personal and enlightening. I am also grateful to the presenting scholars including Lori Branch, George Handley, Amy Williams, Jennifer Bown, Miranda Wilcox, Nathan Rockwood, Matthew Wickman, and panelists as well. Their insightful ideas, faith, and selected readings greatly informed this piece. The cohort who attended this conference with me–namely Lisa Harris, Rachel Lott, Bekki Hood, Jessica Shepherd, Brynna Gang, Alexander Christensen, Brady Turpin, Barret Hamp, and Holden d’Evegnée–added deep insights and thoughtful conversation to the entire experience. For my particular topic, I must also thank the many scholars, in this conference and in my work and educational experience, who are examples of faith in God and/or faith in humanity, who synthesize their good nature and character with their own scholarly work and set a beautiful example to me of what being human can be.</w:t>
      </w:r>
    </w:p>
    <w:p w14:paraId="3652C60E" w14:textId="77777777" w:rsidR="0070462E" w:rsidRPr="0070462E" w:rsidRDefault="00FB718D" w:rsidP="007C487B">
      <w:pPr>
        <w:spacing w:line="240" w:lineRule="auto"/>
        <w:rPr>
          <w:rFonts w:ascii="Times New Roman" w:eastAsia="Times New Roman" w:hAnsi="Times New Roman" w:cs="Times New Roman"/>
          <w:kern w:val="0"/>
          <w14:ligatures w14:val="none"/>
        </w:rPr>
      </w:pPr>
      <w:r>
        <w:rPr>
          <w:noProof/>
        </w:rPr>
      </w:r>
      <w:r>
        <w:pict w14:anchorId="32D47651">
          <v:rect id="Horizontal Line 4"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368416B5"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25138290"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11DDCCBE"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124C91EE"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40AC88FA"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1346076A"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4431CEAE"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416F2869"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7BE5B9B0"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39E3A89F" w14:textId="77777777" w:rsidR="00BF08A9" w:rsidRDefault="00BF08A9" w:rsidP="0070462E">
      <w:pPr>
        <w:spacing w:after="200" w:line="240" w:lineRule="auto"/>
        <w:jc w:val="center"/>
        <w:rPr>
          <w:rFonts w:ascii="Times New Roman" w:eastAsia="Times New Roman" w:hAnsi="Times New Roman" w:cs="Times New Roman"/>
          <w:color w:val="000000"/>
          <w:kern w:val="0"/>
          <w14:ligatures w14:val="none"/>
        </w:rPr>
      </w:pPr>
    </w:p>
    <w:p w14:paraId="2084DADC" w14:textId="37119DE8" w:rsidR="0070462E" w:rsidRPr="0070462E" w:rsidRDefault="0070462E" w:rsidP="0070462E">
      <w:pPr>
        <w:spacing w:after="200" w:line="240" w:lineRule="auto"/>
        <w:jc w:val="center"/>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lastRenderedPageBreak/>
        <w:t>Works Cited</w:t>
      </w:r>
    </w:p>
    <w:p w14:paraId="23CCE03F"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Branch, Lori. "How to Talk about Religion and Literature: A Modest Proposal." </w:t>
      </w:r>
      <w:r w:rsidRPr="0070462E">
        <w:rPr>
          <w:rFonts w:ascii="Times New Roman" w:eastAsia="Times New Roman" w:hAnsi="Times New Roman" w:cs="Times New Roman"/>
          <w:i/>
          <w:iCs/>
          <w:color w:val="000000"/>
          <w:kern w:val="0"/>
          <w14:ligatures w14:val="none"/>
        </w:rPr>
        <w:t>Modern Language Quarterly</w:t>
      </w:r>
      <w:r w:rsidRPr="0070462E">
        <w:rPr>
          <w:rFonts w:ascii="Times New Roman" w:eastAsia="Times New Roman" w:hAnsi="Times New Roman" w:cs="Times New Roman"/>
          <w:color w:val="000000"/>
          <w:kern w:val="0"/>
          <w14:ligatures w14:val="none"/>
        </w:rPr>
        <w:t>, vol. 83, no. 4, Dec. 2022, pp. 373–394, doi:10.1215/00267929-10018155. </w:t>
      </w:r>
    </w:p>
    <w:p w14:paraId="05C39ED1"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Handley, George. "On Criticism, Compassion, and Charity." </w:t>
      </w:r>
      <w:r w:rsidRPr="0070462E">
        <w:rPr>
          <w:rFonts w:ascii="Times New Roman" w:eastAsia="Times New Roman" w:hAnsi="Times New Roman" w:cs="Times New Roman"/>
          <w:i/>
          <w:iCs/>
          <w:color w:val="000000"/>
          <w:kern w:val="0"/>
          <w14:ligatures w14:val="none"/>
        </w:rPr>
        <w:t>BYU Studies Quarterly</w:t>
      </w:r>
      <w:r w:rsidRPr="0070462E">
        <w:rPr>
          <w:rFonts w:ascii="Times New Roman" w:eastAsia="Times New Roman" w:hAnsi="Times New Roman" w:cs="Times New Roman"/>
          <w:color w:val="000000"/>
          <w:kern w:val="0"/>
          <w14:ligatures w14:val="none"/>
        </w:rPr>
        <w:t xml:space="preserve">, vol. 55, no. 3, 2016, pp. 117–137, </w:t>
      </w:r>
      <w:hyperlink r:id="rId6" w:history="1">
        <w:r w:rsidRPr="0070462E">
          <w:rPr>
            <w:rFonts w:ascii="Times New Roman" w:eastAsia="Times New Roman" w:hAnsi="Times New Roman" w:cs="Times New Roman"/>
            <w:color w:val="1155CC"/>
            <w:kern w:val="0"/>
            <w:u w:val="single"/>
            <w14:ligatures w14:val="none"/>
          </w:rPr>
          <w:t>scholarsarchive.byu.edu/byusq/vol55/iss3/7</w:t>
        </w:r>
      </w:hyperlink>
    </w:p>
    <w:p w14:paraId="3CB067CE"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"Honoring Medical Trailblazer and Global Faith Leader Russell M. Nelson." </w:t>
      </w:r>
      <w:r w:rsidRPr="0070462E">
        <w:rPr>
          <w:rFonts w:ascii="Times New Roman" w:eastAsia="Times New Roman" w:hAnsi="Times New Roman" w:cs="Times New Roman"/>
          <w:i/>
          <w:iCs/>
          <w:color w:val="000000"/>
          <w:kern w:val="0"/>
          <w14:ligatures w14:val="none"/>
        </w:rPr>
        <w:t>@theU</w:t>
      </w:r>
      <w:r w:rsidRPr="0070462E">
        <w:rPr>
          <w:rFonts w:ascii="Times New Roman" w:eastAsia="Times New Roman" w:hAnsi="Times New Roman" w:cs="Times New Roman"/>
          <w:color w:val="000000"/>
          <w:kern w:val="0"/>
          <w14:ligatures w14:val="none"/>
        </w:rPr>
        <w:t xml:space="preserve">, University of Utah, 28 Sept. 2025, </w:t>
      </w:r>
      <w:hyperlink r:id="rId7" w:history="1">
        <w:r w:rsidRPr="0070462E">
          <w:rPr>
            <w:rFonts w:ascii="Times New Roman" w:eastAsia="Times New Roman" w:hAnsi="Times New Roman" w:cs="Times New Roman"/>
            <w:color w:val="1155CC"/>
            <w:kern w:val="0"/>
            <w:u w:val="single"/>
            <w14:ligatures w14:val="none"/>
          </w:rPr>
          <w:t>attheu.utah.edu/facultystaff/honoring-medical-trailblazer-and-global-faith-leader-russell-m-nelson/</w:t>
        </w:r>
      </w:hyperlink>
    </w:p>
    <w:p w14:paraId="568B264C"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Joseph, Spencer. "President Nelson Helped Save Lives in Medical Field before the Church." </w:t>
      </w:r>
      <w:r w:rsidRPr="0070462E">
        <w:rPr>
          <w:rFonts w:ascii="Times New Roman" w:eastAsia="Times New Roman" w:hAnsi="Times New Roman" w:cs="Times New Roman"/>
          <w:i/>
          <w:iCs/>
          <w:color w:val="000000"/>
          <w:kern w:val="0"/>
          <w14:ligatures w14:val="none"/>
        </w:rPr>
        <w:t>FOX 13 News Utah</w:t>
      </w:r>
      <w:r w:rsidRPr="0070462E">
        <w:rPr>
          <w:rFonts w:ascii="Times New Roman" w:eastAsia="Times New Roman" w:hAnsi="Times New Roman" w:cs="Times New Roman"/>
          <w:color w:val="000000"/>
          <w:kern w:val="0"/>
          <w14:ligatures w14:val="none"/>
        </w:rPr>
        <w:t xml:space="preserve">, 2026, </w:t>
      </w:r>
      <w:hyperlink r:id="rId8" w:history="1">
        <w:r w:rsidRPr="0070462E">
          <w:rPr>
            <w:rFonts w:ascii="Times New Roman" w:eastAsia="Times New Roman" w:hAnsi="Times New Roman" w:cs="Times New Roman"/>
            <w:color w:val="1155CC"/>
            <w:kern w:val="0"/>
            <w:u w:val="single"/>
            <w14:ligatures w14:val="none"/>
          </w:rPr>
          <w:t>www.fox13now.com/news/local-news/president-nelson-helped-save-lives-in-medical-field-before-the-church</w:t>
        </w:r>
      </w:hyperlink>
    </w:p>
    <w:p w14:paraId="334910FF"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Kristjánsson, Kristján, et al. "Reconsidering the 'Ten Myths' about Character Education." </w:t>
      </w:r>
      <w:r w:rsidRPr="0070462E">
        <w:rPr>
          <w:rFonts w:ascii="Times New Roman" w:eastAsia="Times New Roman" w:hAnsi="Times New Roman" w:cs="Times New Roman"/>
          <w:i/>
          <w:iCs/>
          <w:color w:val="000000"/>
          <w:kern w:val="0"/>
          <w14:ligatures w14:val="none"/>
        </w:rPr>
        <w:t>British Journal of Educational Studies</w:t>
      </w:r>
      <w:r w:rsidRPr="0070462E">
        <w:rPr>
          <w:rFonts w:ascii="Times New Roman" w:eastAsia="Times New Roman" w:hAnsi="Times New Roman" w:cs="Times New Roman"/>
          <w:color w:val="000000"/>
          <w:kern w:val="0"/>
          <w14:ligatures w14:val="none"/>
        </w:rPr>
        <w:t>, vol. 73, no. 1, 2025, pp. 49-72. DOI: 10.1080/00071005.2024.2378059. </w:t>
      </w:r>
    </w:p>
    <w:p w14:paraId="151DC2E2"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Nelson, Russell M. “Peacemakers Needed.” </w:t>
      </w:r>
      <w:r w:rsidRPr="0070462E">
        <w:rPr>
          <w:rFonts w:ascii="Times New Roman" w:eastAsia="Times New Roman" w:hAnsi="Times New Roman" w:cs="Times New Roman"/>
          <w:i/>
          <w:iCs/>
          <w:color w:val="000000"/>
          <w:kern w:val="0"/>
          <w14:ligatures w14:val="none"/>
        </w:rPr>
        <w:t>Liahona</w:t>
      </w:r>
      <w:r w:rsidRPr="0070462E">
        <w:rPr>
          <w:rFonts w:ascii="Times New Roman" w:eastAsia="Times New Roman" w:hAnsi="Times New Roman" w:cs="Times New Roman"/>
          <w:color w:val="000000"/>
          <w:kern w:val="0"/>
          <w14:ligatures w14:val="none"/>
        </w:rPr>
        <w:t xml:space="preserve">, May 2023. </w:t>
      </w:r>
      <w:hyperlink r:id="rId9" w:history="1">
        <w:r w:rsidRPr="0070462E">
          <w:rPr>
            <w:rFonts w:ascii="Times New Roman" w:eastAsia="Times New Roman" w:hAnsi="Times New Roman" w:cs="Times New Roman"/>
            <w:color w:val="1155CC"/>
            <w:kern w:val="0"/>
            <w:u w:val="single"/>
            <w14:ligatures w14:val="none"/>
          </w:rPr>
          <w:t>https://www.churchofjesuschrist.org/study/liahona/2023/05/47nelson?lang=eng</w:t>
        </w:r>
      </w:hyperlink>
    </w:p>
    <w:p w14:paraId="31CA0D14"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Nelson, Russell M. "President Russell M. Nelson Extends an Invitation for a Worldwide Fast." The Church of Jesus Christ of Latter-day Saints, 2020, </w:t>
      </w:r>
      <w:hyperlink r:id="rId10" w:history="1">
        <w:r w:rsidRPr="0070462E">
          <w:rPr>
            <w:rFonts w:ascii="Times New Roman" w:eastAsia="Times New Roman" w:hAnsi="Times New Roman" w:cs="Times New Roman"/>
            <w:color w:val="1155CC"/>
            <w:kern w:val="0"/>
            <w:u w:val="single"/>
            <w14:ligatures w14:val="none"/>
          </w:rPr>
          <w:t>sg.churchofjesuschrist.org/area/ww-event/2020/03-president-nelson-fast-pray-relief-covid-19</w:t>
        </w:r>
      </w:hyperlink>
    </w:p>
    <w:p w14:paraId="2F647BDA"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Nelson, Russel M. “Revelation for the Church, Revelation for Our Lives.” </w:t>
      </w:r>
      <w:r w:rsidRPr="0070462E">
        <w:rPr>
          <w:rFonts w:ascii="Times New Roman" w:eastAsia="Times New Roman" w:hAnsi="Times New Roman" w:cs="Times New Roman"/>
          <w:i/>
          <w:iCs/>
          <w:color w:val="000000"/>
          <w:kern w:val="0"/>
          <w14:ligatures w14:val="none"/>
        </w:rPr>
        <w:t xml:space="preserve">Liahona, </w:t>
      </w:r>
      <w:r w:rsidRPr="0070462E">
        <w:rPr>
          <w:rFonts w:ascii="Times New Roman" w:eastAsia="Times New Roman" w:hAnsi="Times New Roman" w:cs="Times New Roman"/>
          <w:color w:val="000000"/>
          <w:kern w:val="0"/>
          <w14:ligatures w14:val="none"/>
        </w:rPr>
        <w:t xml:space="preserve">May 2018, </w:t>
      </w:r>
      <w:hyperlink r:id="rId11" w:history="1">
        <w:r w:rsidRPr="0070462E">
          <w:rPr>
            <w:rFonts w:ascii="Times New Roman" w:eastAsia="Times New Roman" w:hAnsi="Times New Roman" w:cs="Times New Roman"/>
            <w:color w:val="1155CC"/>
            <w:kern w:val="0"/>
            <w:u w:val="single"/>
            <w14:ligatures w14:val="none"/>
          </w:rPr>
          <w:t>https://www.churchofjesuschrist.org/study/liahona/2018/05/sunday-morning-session/revelation-for-the-church-revelation-for-our-lives?lang=eng</w:t>
        </w:r>
      </w:hyperlink>
    </w:p>
    <w:p w14:paraId="3CF02DE4"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Nelson, Russell M. “Sweet Power of Prayer.” </w:t>
      </w:r>
      <w:r w:rsidRPr="0070462E">
        <w:rPr>
          <w:rFonts w:ascii="Times New Roman" w:eastAsia="Times New Roman" w:hAnsi="Times New Roman" w:cs="Times New Roman"/>
          <w:i/>
          <w:iCs/>
          <w:color w:val="000000"/>
          <w:kern w:val="0"/>
          <w14:ligatures w14:val="none"/>
        </w:rPr>
        <w:t>Ensign</w:t>
      </w:r>
      <w:r w:rsidRPr="0070462E">
        <w:rPr>
          <w:rFonts w:ascii="Times New Roman" w:eastAsia="Times New Roman" w:hAnsi="Times New Roman" w:cs="Times New Roman"/>
          <w:color w:val="000000"/>
          <w:kern w:val="0"/>
          <w14:ligatures w14:val="none"/>
        </w:rPr>
        <w:t xml:space="preserve">, May 2003, </w:t>
      </w:r>
      <w:hyperlink r:id="rId12" w:history="1">
        <w:r w:rsidRPr="0070462E">
          <w:rPr>
            <w:rFonts w:ascii="Times New Roman" w:eastAsia="Times New Roman" w:hAnsi="Times New Roman" w:cs="Times New Roman"/>
            <w:color w:val="1155CC"/>
            <w:kern w:val="0"/>
            <w:u w:val="single"/>
            <w14:ligatures w14:val="none"/>
          </w:rPr>
          <w:t>https://www.churchofjesuschrist.org/study/ensign/2003/05/sweet-power-of-prayer?lang=eng</w:t>
        </w:r>
      </w:hyperlink>
    </w:p>
    <w:p w14:paraId="651D598B"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Trigg, Roger. "Faith and God" </w:t>
      </w:r>
      <w:r w:rsidRPr="0070462E">
        <w:rPr>
          <w:rFonts w:ascii="Times New Roman" w:eastAsia="Times New Roman" w:hAnsi="Times New Roman" w:cs="Times New Roman"/>
          <w:i/>
          <w:iCs/>
          <w:color w:val="000000"/>
          <w:kern w:val="0"/>
          <w14:ligatures w14:val="none"/>
        </w:rPr>
        <w:t>Faith: A Very Short Introduction</w:t>
      </w:r>
      <w:r w:rsidRPr="0070462E">
        <w:rPr>
          <w:rFonts w:ascii="Times New Roman" w:eastAsia="Times New Roman" w:hAnsi="Times New Roman" w:cs="Times New Roman"/>
          <w:color w:val="000000"/>
          <w:kern w:val="0"/>
          <w14:ligatures w14:val="none"/>
        </w:rPr>
        <w:t>, Oxford University Press, 2024, pp. 22-61. </w:t>
      </w:r>
    </w:p>
    <w:p w14:paraId="320121E8" w14:textId="77777777" w:rsidR="0070462E" w:rsidRPr="0070462E" w:rsidRDefault="0070462E" w:rsidP="0070462E">
      <w:pPr>
        <w:spacing w:after="200" w:line="240" w:lineRule="auto"/>
        <w:ind w:left="720" w:hanging="720"/>
        <w:rPr>
          <w:rFonts w:ascii="Times New Roman" w:eastAsia="Times New Roman" w:hAnsi="Times New Roman" w:cs="Times New Roman"/>
          <w:kern w:val="0"/>
          <w14:ligatures w14:val="none"/>
        </w:rPr>
      </w:pPr>
      <w:r w:rsidRPr="0070462E">
        <w:rPr>
          <w:rFonts w:ascii="Times New Roman" w:eastAsia="Times New Roman" w:hAnsi="Times New Roman" w:cs="Times New Roman"/>
          <w:color w:val="000000"/>
          <w:kern w:val="0"/>
          <w14:ligatures w14:val="none"/>
        </w:rPr>
        <w:t xml:space="preserve">Wickman, Matthew. </w:t>
      </w:r>
      <w:r w:rsidRPr="0070462E">
        <w:rPr>
          <w:rFonts w:ascii="Times New Roman" w:eastAsia="Times New Roman" w:hAnsi="Times New Roman" w:cs="Times New Roman"/>
          <w:i/>
          <w:iCs/>
          <w:color w:val="000000"/>
          <w:kern w:val="0"/>
          <w14:ligatures w14:val="none"/>
        </w:rPr>
        <w:t>Life to the Whole Being: The Spiritual Memoir of a Literature Professor</w:t>
      </w:r>
      <w:r w:rsidRPr="0070462E">
        <w:rPr>
          <w:rFonts w:ascii="Times New Roman" w:eastAsia="Times New Roman" w:hAnsi="Times New Roman" w:cs="Times New Roman"/>
          <w:color w:val="000000"/>
          <w:kern w:val="0"/>
          <w14:ligatures w14:val="none"/>
        </w:rPr>
        <w:t>. Neal A. Maxwell Institute for Religious Scholarship, 2022 </w:t>
      </w:r>
    </w:p>
    <w:p w14:paraId="06B6B248" w14:textId="77777777" w:rsidR="00DF52A7" w:rsidRDefault="00DF52A7"/>
    <w:sectPr w:rsidR="00DF52A7">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54443E" w14:textId="77777777" w:rsidR="00FB718D" w:rsidRDefault="00FB718D" w:rsidP="00F90F0C">
      <w:pPr>
        <w:spacing w:after="0" w:line="240" w:lineRule="auto"/>
      </w:pPr>
      <w:r>
        <w:separator/>
      </w:r>
    </w:p>
  </w:endnote>
  <w:endnote w:type="continuationSeparator" w:id="0">
    <w:p w14:paraId="0BCCDA1B" w14:textId="77777777" w:rsidR="00FB718D" w:rsidRDefault="00FB718D" w:rsidP="00F90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40421973"/>
      <w:docPartObj>
        <w:docPartGallery w:val="Page Numbers (Bottom of Page)"/>
        <w:docPartUnique/>
      </w:docPartObj>
    </w:sdtPr>
    <w:sdtEndPr>
      <w:rPr>
        <w:noProof/>
      </w:rPr>
    </w:sdtEndPr>
    <w:sdtContent>
      <w:p w14:paraId="31D314F0" w14:textId="174F2D42" w:rsidR="000E78ED" w:rsidRDefault="000E78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25BAF0" w14:textId="77777777" w:rsidR="00F90F0C" w:rsidRDefault="00F90F0C" w:rsidP="000E78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813436" w14:textId="77777777" w:rsidR="00FB718D" w:rsidRDefault="00FB718D" w:rsidP="00F90F0C">
      <w:pPr>
        <w:spacing w:after="0" w:line="240" w:lineRule="auto"/>
      </w:pPr>
      <w:r>
        <w:separator/>
      </w:r>
    </w:p>
  </w:footnote>
  <w:footnote w:type="continuationSeparator" w:id="0">
    <w:p w14:paraId="2B4936B6" w14:textId="77777777" w:rsidR="00FB718D" w:rsidRDefault="00FB718D" w:rsidP="00F90F0C">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62E"/>
    <w:rsid w:val="000E78ED"/>
    <w:rsid w:val="001936C4"/>
    <w:rsid w:val="001B64C9"/>
    <w:rsid w:val="00266AB0"/>
    <w:rsid w:val="004D413B"/>
    <w:rsid w:val="005050D4"/>
    <w:rsid w:val="00595F65"/>
    <w:rsid w:val="0070462E"/>
    <w:rsid w:val="007C487B"/>
    <w:rsid w:val="00A10EA7"/>
    <w:rsid w:val="00BF08A9"/>
    <w:rsid w:val="00DF52A7"/>
    <w:rsid w:val="00F90F0C"/>
    <w:rsid w:val="00FB7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B360E7B"/>
  <w15:chartTrackingRefBased/>
  <w15:docId w15:val="{31381A8B-104A-4974-9390-55B5E81D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6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6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6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6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6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6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6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6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6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6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6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6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6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6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6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62E"/>
    <w:rPr>
      <w:rFonts w:eastAsiaTheme="majorEastAsia" w:cstheme="majorBidi"/>
      <w:color w:val="272727" w:themeColor="text1" w:themeTint="D8"/>
    </w:rPr>
  </w:style>
  <w:style w:type="paragraph" w:styleId="Title">
    <w:name w:val="Title"/>
    <w:basedOn w:val="Normal"/>
    <w:next w:val="Normal"/>
    <w:link w:val="TitleChar"/>
    <w:uiPriority w:val="10"/>
    <w:qFormat/>
    <w:rsid w:val="00704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6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6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6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62E"/>
    <w:pPr>
      <w:spacing w:before="160"/>
      <w:jc w:val="center"/>
    </w:pPr>
    <w:rPr>
      <w:i/>
      <w:iCs/>
      <w:color w:val="404040" w:themeColor="text1" w:themeTint="BF"/>
    </w:rPr>
  </w:style>
  <w:style w:type="character" w:customStyle="1" w:styleId="QuoteChar">
    <w:name w:val="Quote Char"/>
    <w:basedOn w:val="DefaultParagraphFont"/>
    <w:link w:val="Quote"/>
    <w:uiPriority w:val="29"/>
    <w:rsid w:val="0070462E"/>
    <w:rPr>
      <w:i/>
      <w:iCs/>
      <w:color w:val="404040" w:themeColor="text1" w:themeTint="BF"/>
    </w:rPr>
  </w:style>
  <w:style w:type="paragraph" w:styleId="ListParagraph">
    <w:name w:val="List Paragraph"/>
    <w:basedOn w:val="Normal"/>
    <w:uiPriority w:val="34"/>
    <w:qFormat/>
    <w:rsid w:val="0070462E"/>
    <w:pPr>
      <w:ind w:left="720"/>
      <w:contextualSpacing/>
    </w:pPr>
  </w:style>
  <w:style w:type="character" w:styleId="IntenseEmphasis">
    <w:name w:val="Intense Emphasis"/>
    <w:basedOn w:val="DefaultParagraphFont"/>
    <w:uiPriority w:val="21"/>
    <w:qFormat/>
    <w:rsid w:val="0070462E"/>
    <w:rPr>
      <w:i/>
      <w:iCs/>
      <w:color w:val="0F4761" w:themeColor="accent1" w:themeShade="BF"/>
    </w:rPr>
  </w:style>
  <w:style w:type="paragraph" w:styleId="IntenseQuote">
    <w:name w:val="Intense Quote"/>
    <w:basedOn w:val="Normal"/>
    <w:next w:val="Normal"/>
    <w:link w:val="IntenseQuoteChar"/>
    <w:uiPriority w:val="30"/>
    <w:qFormat/>
    <w:rsid w:val="00704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62E"/>
    <w:rPr>
      <w:i/>
      <w:iCs/>
      <w:color w:val="0F4761" w:themeColor="accent1" w:themeShade="BF"/>
    </w:rPr>
  </w:style>
  <w:style w:type="character" w:styleId="IntenseReference">
    <w:name w:val="Intense Reference"/>
    <w:basedOn w:val="DefaultParagraphFont"/>
    <w:uiPriority w:val="32"/>
    <w:qFormat/>
    <w:rsid w:val="0070462E"/>
    <w:rPr>
      <w:b/>
      <w:bCs/>
      <w:smallCaps/>
      <w:color w:val="0F4761" w:themeColor="accent1" w:themeShade="BF"/>
      <w:spacing w:val="5"/>
    </w:rPr>
  </w:style>
  <w:style w:type="paragraph" w:styleId="Header">
    <w:name w:val="header"/>
    <w:basedOn w:val="Normal"/>
    <w:link w:val="HeaderChar"/>
    <w:uiPriority w:val="99"/>
    <w:unhideWhenUsed/>
    <w:rsid w:val="00F90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F0C"/>
  </w:style>
  <w:style w:type="paragraph" w:styleId="Footer">
    <w:name w:val="footer"/>
    <w:basedOn w:val="Normal"/>
    <w:link w:val="FooterChar"/>
    <w:uiPriority w:val="99"/>
    <w:unhideWhenUsed/>
    <w:rsid w:val="00F90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x13now.com/news/local-news/president-nelson-helped-save-lives-in-medical-field-before-the-church"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attheu.utah.edu/facultystaff/honoring-medical-trailblazer-and-global-faith-leader-russell-m-nelson/" TargetMode="External"/><Relationship Id="rId12" Type="http://schemas.openxmlformats.org/officeDocument/2006/relationships/hyperlink" Target="https://www.churchofjesuschrist.org/study/ensign/2003/05/sweet-power-of-prayer?lang=e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larsarchive.byu.edu/byusq/vol55/iss3/7" TargetMode="External"/><Relationship Id="rId11" Type="http://schemas.openxmlformats.org/officeDocument/2006/relationships/hyperlink" Target="https://www.churchofjesuschrist.org/study/liahona/2018/05/sunday-morning-session/revelation-for-the-church-revelation-for-our-lives?lang=en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g.churchofjesuschrist.org/area/ww-event/2020/03-president-nelson-fast-pray-relief-covid-19" TargetMode="External"/><Relationship Id="rId4" Type="http://schemas.openxmlformats.org/officeDocument/2006/relationships/footnotes" Target="footnotes.xml"/><Relationship Id="rId9" Type="http://schemas.openxmlformats.org/officeDocument/2006/relationships/hyperlink" Target="https://www.churchofjesuschrist.org/study/liahona/2023/05/47nelson?lang=e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3340</Words>
  <Characters>19044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Barney</dc:creator>
  <cp:keywords/>
  <dc:description/>
  <cp:lastModifiedBy>Matthew Wickman</cp:lastModifiedBy>
  <cp:revision>3</cp:revision>
  <dcterms:created xsi:type="dcterms:W3CDTF">2026-08-18T00:06:00Z</dcterms:created>
  <dcterms:modified xsi:type="dcterms:W3CDTF">2026-08-18T00:08:00Z</dcterms:modified>
</cp:coreProperties>
</file>