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745E716" wp14:paraId="36E2682D" wp14:textId="7645A193">
      <w:pPr>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As Though He Needed Anything</w:t>
      </w:r>
    </w:p>
    <w:p xmlns:wp14="http://schemas.microsoft.com/office/word/2010/wordml" w:rsidP="5745E716" wp14:paraId="6C4BEA60" wp14:textId="6A803351">
      <w:pPr>
        <w:spacing w:after="0" w:line="48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 could tell we were betrayed when Michael refused to meet my eyes. My trainee and I had been teaching Michael for a few weeks in Abengourou. He was young and eager, excited to meet a new community and a new book of scripture. That day, Michael was silent when we approached. Instead, a man we had never met before shook our hands and smiled. A restrained laugh lit up his face as we explained that we were missionaries. We told Michael we would meet him in the small clearing nearby as normal. A long time passed before Michael approached, accompanied by the man who sat down with us and pulled out a huge, well-worn bible. I knew what was about to happen, and I fought my giddiness. My adrenaline surged as the man explained that he was a pastor and wanted to verify our teachings to his young congregant. I knew we should have left right then, but after so many weeks with companions who refused to leave the apartment, I needed the chance to prove myself.</w:t>
      </w:r>
    </w:p>
    <w:p xmlns:wp14="http://schemas.microsoft.com/office/word/2010/wordml" w:rsidP="5745E716" wp14:paraId="1F5EF982" wp14:textId="1000FF8E">
      <w:pPr>
        <w:spacing w:after="0" w:line="48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When I arrived in the Ivory Coast, I spent the cruel, long hours stuck in my various apartments poring over the Bible. My time as captain of the high school debate team trained me well. I clothed the god of my youth with the armor of my scholarship. I had notebooks replete with cross-references as well as a pocket guide for quick references to doctrinal questions. I could prove any point of my seminary-enriched version of theology with ease. Time was not an issue, after all. My duel with the pastor lasted two hours. Anger boiled behind his eyes as I responded to each question. What was supposed to be a rout turned into a war of attrition. He wanted humiliation. So did I. Months stuck in my apartment turned into threaded daggers of theology: references, parables, and interpretations. I glutted on the swirl of words as panic entered into the pastor’s eyes. I knew I won when the pastor accused me of blasphemy. Shaking his finger at me, he denounced me, stood up, and marched away, tugging Michael along. I exulted in my victory as I bound my bruised ego. The god of my youth that I worshiped stood the test again. The thrill of the contest ebbed when I saw Michael’s eyes when he looked back at us. Guilt and exhaustion pained his face. He never spoke to us again. </w:t>
      </w:r>
    </w:p>
    <w:p xmlns:wp14="http://schemas.microsoft.com/office/word/2010/wordml" w:rsidP="5745E716" wp14:paraId="5F6D36C7" wp14:textId="31FED124">
      <w:pPr>
        <w:spacing w:after="0" w:line="48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Months later, I had a new companion who, recovering from surgery, could not leave the apartment even if he wanted to. I had spent fourteen consecutive weeks as an anchorite in this Abidjan apartment. My only respite was the cybercafé where I stared longingly at the screen, conjuring the images painted by my family’s emails. I finally broke; I found myself looking for something I shouldn’t. I googled, “the road mccarthy pdf.” </w:t>
      </w:r>
      <w:r w:rsidRPr="5745E716" w:rsidR="5854DAE9">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The Road </w:t>
      </w: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was one of my parents’ favorites, and I was desperate for something that I had not read dozens of times. I succeeded in my search and raked over the ashen, bare descriptions. The ringing despair of the prose matched what felt like the hollowness of my angst. I reached the scene where the father scavenges a can of Coca-Cola and gives it to his son. The boy is delighted by the bubbles and the taste. The father tells him, “You drink it …. Let’s just sit here.” The son observes, “It’s because I won’t ever get to drink another one, isn’t it? … Okay” (McCarthy 114). To my surprise, I began to sob. I closed the PDF, trudged home, and returned to my hermetical pirouette. And yet, the rancid despair and apathy that infected me was suddenly clothed and nameable. The flesh given words. Here was something I could adore, something with power and grace. Literature became the suture of my spiritual woundedness, which sustained me through several more months and two more ascetic companions. In desperation, I began to read everything I could get my hands on: Kierkegaard, Hugo, Lewis, Robinson, de Unamuno, and Bushman. Here was matter unorganized. I began sculpting a new God, one whose embryo was formed in novels, poetry, and art. His ichor was ink and his skin vellum, supple and illuminated. </w:t>
      </w:r>
    </w:p>
    <w:p xmlns:wp14="http://schemas.microsoft.com/office/word/2010/wordml" w:rsidP="5745E716" wp14:paraId="1A9D9F58" wp14:textId="0DAEC736">
      <w:pPr>
        <w:spacing w:after="0" w:line="48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I had thought that a relationship with God was a simple matter of propositions whose truth made the conclusion certain. Yet no number of cross-references could help me through the torpor of endless waiting in my apartment. I could only augur the bones of my testimony which slunk with our offal down the rat-infested drain. Literature allowed me to stitch nerves onto the bones, giving me the ability to feel again. The god of my youth offered platitudes while this new god, sculpted in poetry, could laugh and weep. I did not need to understand God so much as feel Him in the silence, breathing.  </w:t>
      </w:r>
    </w:p>
    <w:p xmlns:wp14="http://schemas.microsoft.com/office/word/2010/wordml" w:rsidP="5745E716" wp14:paraId="32CDD8D4" wp14:textId="7815D31A">
      <w:pPr>
        <w:spacing w:after="0" w:line="480" w:lineRule="auto"/>
        <w:ind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One pandemic evacuation later, I found myself returned to BYU amid masks, thermometers, and quarantines. My Philosophy and English classes began to give form and theoretical weight to the process of my creation. During this metamorphosis, as the God of my creation took shape under my hands, I found myself gently rebuked by my grandfather, a titan of faith and learning. One of my heroes. At his kitchen table, I walked him through my studies, my speculations on theology concerning universalism and eternal progression. I recounted the beauty of the vision of Julian of Norwich and the desperate need we have to respond to Ivan Karamazov’s Grand Inquisitor. In short, I considered myself a universalist. With love and sadness tinging his careful hesitation, my grandfather looked into my eyes. “Holden, you know what you are saying goes against the Book of Mormon. Alma in particular.” He continued, but his voice was lost in the space yawning between us. His admonitions were not severe, but they were firm. My infant divinity shuddered in the swaddling I had so carefully spun. </w:t>
      </w:r>
    </w:p>
    <w:p xmlns:wp14="http://schemas.microsoft.com/office/word/2010/wordml" w:rsidP="5745E716" wp14:paraId="79440D68" wp14:textId="0DEE5138">
      <w:pPr>
        <w:spacing w:after="0" w:line="480" w:lineRule="auto"/>
        <w:ind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 hurried to a trusted mentor who patiently listened to the worries of my now censured and smarting soul. Bemused, he walked me through something that helped him reconcile the gaps between doctrine and the world. “Take dark matter,” he explained. “While we cannot observe it, we know there is something that is pushing the materials of the universe further apart at increasing speeds. We infer, then, that dark energy and dark matter must exist to explain the phenomenon we observe. By filling in the unknown variable with the best explanation we can come up with, we can rationally believe in something unobserved. This is called inference to the best explanation. We know things about dark energy and dark matter from the effects it has, so we can build a description of them from their effects. There is a similar concept called ‘inference to the most beautiful explanation.’ Similarly, in the absence of hard evidence, some philosophers suggest that constructing the most beautiful explanation for the phenomena of our lives can provide rational grounds for believing in those explanations.” His calm explanation felt like he was granting me permission to marry the best of learning with my devotion to the divine. It could be done.</w:t>
      </w:r>
    </w:p>
    <w:p xmlns:wp14="http://schemas.microsoft.com/office/word/2010/wordml" w:rsidP="5745E716" wp14:paraId="649ADAF2" wp14:textId="0B352824">
      <w:pPr>
        <w:spacing w:after="0" w:line="480" w:lineRule="auto"/>
        <w:ind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 smiled and got to work. I could certainly create a version of God who is beautiful and lovely. I had caught glimpses of Him in the works of Toni Morrison and Marilynne Robinson. Like old Pygmalion, disgusted with the failures of the gods around me, I renewed my efforts. Pygmalion’s Galatea was blessed with life due to the fervor of his conviction. My desire for a living God made me a patient acolyte. The power of the brow, the wrinkles emanating from the eyes, and the softness of countenance. This new God was an embodiment of the steady mystery rather than the dispensation of answers. It was not about winning theological bouts but sheltering in “sheer silence” (</w:t>
      </w:r>
      <w:r w:rsidRPr="5745E716" w:rsidR="5854DAE9">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The New Oxford Annotated Bible</w:t>
      </w: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1 Kings 19:12). Rilke wrote, “Do not now seek the answers, which cannot be given you because you would not be able to live them. … </w:t>
      </w:r>
      <w:r w:rsidRPr="5745E716" w:rsidR="5854DAE9">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Live</w:t>
      </w: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questions now. Perhaps you will then gradually, without noticing it, live along some distant day into the answer” (35, emphasis in original). Living questions rather than answering them—what better description of literature? As I finished my time at BYU and got ready to begin my doctoral studies, I admired the beauty of my own literary Galatea. The difficult theological and historical questions about the church that confronted me paled in comparison to the beauty of my creation. I continued through my undergraduate and master’s degree devouring, assimilating, and refining the ideas I encountered. I gave “blood to the scraps … and a heartbeat … like a lover whose pleasure was to overfeed the loved” (Morrison 92). At each threat, my beautiful, grey-eyed Galatea would spring from my head ready for battle. My Pallas was cold, precise. While I had started by fixating on beauty, I found myself slouching back into a warrior’s crouch. Beauty became a philosophical feint, not a contour of worship. </w:t>
      </w:r>
    </w:p>
    <w:p xmlns:wp14="http://schemas.microsoft.com/office/word/2010/wordml" w:rsidP="5745E716" wp14:paraId="7F53EF42" wp14:textId="7389F301">
      <w:pPr>
        <w:spacing w:after="0" w:line="480" w:lineRule="auto"/>
        <w:ind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During a seminar in my first term as a doctoral student, I decided to share a story from my mission couched as an experience I had as “a religious service volunteer.” During a break, another student looked at me, a slight smile under his raised eyebrow, “‘religious service volunteer,’ huh?” I shrugged, looking down. Another student, seeing this exchange and knowing my religious affiliation, asked me, “Wait, are you ashamed of being Mormon?” As heads swiveled towards me, I realized how damning the question was. I denied it, explaining that I did not want to bog down a public-university classroom with personal blah blah blah. I was so furious at her question, not because it was embarrassing but because she was right. Not so much that I was ashamed of my religion, but because, in that moment, I realized that so much of religious experience had yet again become intellectual. I was embarrassed because the personal feeling of religion had nothing to do with it. My magpie flurry of collecting scraps of books, poems, art, and film created a mosaic that was beautiful but dead. My Galatea could only reflect what I already thought was beautiful. She was a mirror, telling me what I already knew.</w:t>
      </w:r>
    </w:p>
    <w:p xmlns:wp14="http://schemas.microsoft.com/office/word/2010/wordml" w:rsidP="5745E716" wp14:paraId="3D57FD53" wp14:textId="58D9684B">
      <w:pPr>
        <w:pStyle w:val="ListParagraph"/>
        <w:numPr>
          <w:ilvl w:val="0"/>
          <w:numId w:val="1"/>
        </w:numPr>
        <w:spacing w:after="0" w:line="48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After my first year, I </w:t>
      </w: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came</w:t>
      </w: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to BYU for the Humanities and Belief workshop. What surprised me most about the presenters was the way they talked about God. They talked about wanting to be tutored by Him, to discover Him in new ways. One presenter even mentioned being afraid of God’s presence, uncertain as she was of His character. These brilliant people talked about God as a mystery: enticing, severe, and uncertain. Mired in susurrant doubt, they </w:t>
      </w: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submitted</w:t>
      </w: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to theophanies whose manifold potentials ranged from rams stuck in bushes to nails in crosses. “The grace of the gods, the bright powers set on high, / is overpowering, sharp, involuntary,” Aeschylus tells us (183-84). I had for so long waited for my fabricated God to breathe, to warm to my touch, that I had stopped asking Him to tell me who He was. I was instead praying for Him to be what I needed. The beauty of art is critical to understanding God, but I had reached a point where God could not surprise me. </w:t>
      </w: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Traveling through the gentile region of what was once Phoenicia, Jesus </w:t>
      </w: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entered into</w:t>
      </w: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 house and hid himself. Despite his best efforts, a woman of gentile origin finds him and bows to his feet, begging him to heal her daughter. Infamously, the Lord responds, “Let the children be fed first, for it is not fair to take the children’s food and throw it to the dogs.” Unfazed, the woman rejoins, “Sir, even the dogs under the table eat the children’s crumbs.” Evidently impressed with her wit, Jesus rewards her by healing her daughter (Mark 7:27-30). This repartee is difficult because of Jesus’s </w:t>
      </w: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apparent</w:t>
      </w: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callousness, and yet his caprice suggests something interesting about the divine nature. Most intriguing is the idea that Jesus could be surprised. Not simply surprised but pleased by the cleverness of this woman. In Marilynne Robinson’s </w:t>
      </w:r>
      <w:r w:rsidRPr="5745E716" w:rsidR="5854DAE9">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Gilead, </w:t>
      </w:r>
      <w:r w:rsidRPr="5745E716" w:rsidR="5854DA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main character references John Calvin’s thought that God may enjoy us in the same way an audience enjoys the performance of playactors. The metaphor “makes us artists of our behavior, and the reaction of God to us might be thought of as aesthetic rather than morally judgmental in the ordinary sense” (Robinson 124). Aesthetic judgment would demand beauty from us rather than just goodness. The Syrophoenician woman not only performs her part but apparently goes</w:t>
      </w: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off script, asking God to consider her adaptation as a mark of beauty. Adlibbing with God to earn the healing of her daughter. Wrestling with words for a blessing. </w:t>
      </w:r>
    </w:p>
    <w:p xmlns:wp14="http://schemas.microsoft.com/office/word/2010/wordml" w:rsidP="5745E716" wp14:paraId="7F5F8F5F" wp14:textId="6553CED3">
      <w:pPr>
        <w:pStyle w:val="ListParagraph"/>
        <w:numPr>
          <w:ilvl w:val="0"/>
          <w:numId w:val="1"/>
        </w:numPr>
        <w:spacing w:after="0" w:line="48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While disarming, something is exciting about the idea that God could change his mind according to the beauty we offer in the performance of our lives. This seems to be the case in the </w:t>
      </w:r>
      <w:r w:rsidRPr="5745E716" w:rsidR="0C4B3FEF">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Book of Mormon </w:t>
      </w: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when Jesus is about to leave the Nephite people but changes his mind and heals them after seeing the pleading on their faces (</w:t>
      </w:r>
      <w:r w:rsidRPr="5745E716" w:rsidR="0C4B3FEF">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The Book of Mormon</w:t>
      </w: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3 Nephi 17). For this to be possible—and for God to still be charged with our salvation—there has to be a certain amount of give where things are gratuitously beautiful. And where they are not strictly necessary. Apparently, the Syrophoenician woman and the Nephite wounded did not need to be healed in the grand scheme of Jesus’s life. And yet they were healed by Christ’s aesthetic judgment. God and man surprising each other, creating beauty.</w:t>
      </w:r>
    </w:p>
    <w:p xmlns:wp14="http://schemas.microsoft.com/office/word/2010/wordml" w:rsidP="5745E716" wp14:paraId="2D26A6DD" wp14:textId="1560064E">
      <w:pPr>
        <w:pStyle w:val="ListParagraph"/>
        <w:numPr>
          <w:ilvl w:val="0"/>
          <w:numId w:val="1"/>
        </w:numPr>
        <w:spacing w:after="0" w:line="48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 mutual capacity of surprise suggests that the concept of God’s omnipotence and omniscience must require some revision. J. R. Lucas uses the metaphor of a Persian rugmaker to understand how a God who cannot know the future (since the future does not exist yet) can still create salvation. This divine rugmaker “lets his children work at one end while he does the other. The children make mistakes, but so great is his skill that he adapts the design at his end to take into account each error at the children's end, and works it into a new, constantly up-dated pattern” (Lucas 127). This artisanal God delights in the raw newness and innovation of His children without being defeated by them. It seems that God not only delights in us, is moved by us, but may rely on us in some real way for the creation of beauty that could not exist otherwise. The great pragmatist William James provocatively opens himself to the suggestion: “God himself, in short, may draw vital strength and increase of very being from our fidelity. … [This life] feels like a real fight; as if there were something really wild in the Universe which we, with all our idealities and faithfulnesses, are needed to redeem” (James 61). What a harrowing idea that the project of this universe may depend on us—on me—getting our act together. And yet, what more intoxicating apprenticeship could there be? </w:t>
      </w:r>
    </w:p>
    <w:p xmlns:wp14="http://schemas.microsoft.com/office/word/2010/wordml" w:rsidP="5745E716" wp14:paraId="60C1B88B" wp14:textId="7568AE69">
      <w:pPr>
        <w:pStyle w:val="ListParagraph"/>
        <w:numPr>
          <w:ilvl w:val="0"/>
          <w:numId w:val="1"/>
        </w:numPr>
        <w:spacing w:after="0" w:line="48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I had been so committed to creating a beautiful Christ that I had not thought He could surprise me with a beauty outside of my realm of experience. Gratuitous beauty, what I would also call grace, is unexpected but etched in the soft edges of the baked Tabernacle. Agency is fuzzy, smearing divine light into a crepuscular blur. If God let me surprise Him, I could at least return the favor. However, Kierkegaard would have something to say about the nature of divine surprise. That kind of discipleship is lonely, paradoxical, and cruel. To truly commune with God, I was realizing, I would have to let Him help me carve myself out of stone. </w:t>
      </w:r>
    </w:p>
    <w:p xmlns:wp14="http://schemas.microsoft.com/office/word/2010/wordml" w:rsidP="5745E716" wp14:paraId="2721FAD9" wp14:textId="0733DFB8">
      <w:pPr>
        <w:pStyle w:val="ListParagraph"/>
        <w:numPr>
          <w:ilvl w:val="0"/>
          <w:numId w:val="1"/>
        </w:numPr>
        <w:spacing w:after="0" w:line="48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As the principle of mutual surprise revealed itself to me during the workshop, I visited an old mission friend named Parker in Salt Lake. As we rehearsed our old wounds through the heat and haze of his hot tub, just as we had years ago through the jungle steam, he asked me for advice. His disgust with the world, a fallible Church, and himself radiated like a wake as he waited for my response. I fumbled through my attempt at a response, crafting a tortured moral platitude. Silence. Shame clung to the vapor rising into my face. </w:t>
      </w:r>
    </w:p>
    <w:p xmlns:wp14="http://schemas.microsoft.com/office/word/2010/wordml" w:rsidP="5745E716" wp14:paraId="7987C699" wp14:textId="7648D394">
      <w:pPr>
        <w:pStyle w:val="ListParagraph"/>
        <w:numPr>
          <w:ilvl w:val="0"/>
          <w:numId w:val="1"/>
        </w:numPr>
        <w:spacing w:after="0" w:line="48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After a beat, we continued our conversation.  “It’s not all bad,” I offered, “there can be beautiful things.” He nodded. I decided to drop the pretense, the supposed wisdom, and I painted a picture of what I longed for. “I know this is weird,” I hazarded, “but sometimes when I think about what death will be like, I hope I would wake at the missionary zone conference in Adzope. You’d be there. President and Sister Binene, Elder Kipulu, Elder Omokhodion. Even Maman Adou.” He perked up at the mention of Adou, the divorced mother of eight kids who stunned us both with her unfailing commitment to God, walking several miles roundtrip with her clutch of kids every Sunday. “If she was there, I would want to kiss her feet and make her foutou. That way she could watch someone else make it for once.” I was surprised by the power of our mutual admiration for this woman. It was the only kind of heaven that would make sense to both of us. Silence again. Parker smiled sadly, “You know I called her after we left Abengourou? She couldn’t remember me at all, but she pretended with all her heart. … I can’t stop thinking of that image: kissing her feet and making her foutou. Yes, that would be beautiful.” We whispered through the heat. Our conversation softened in growing silence as we listened for the tattered vision of a world just audible from Horeb’s aching summit.</w:t>
      </w:r>
    </w:p>
    <w:p xmlns:wp14="http://schemas.microsoft.com/office/word/2010/wordml" w:rsidP="5745E716" wp14:paraId="5E5787A5" wp14:textId="68D78896">
      <w:pPr>
        <w:pStyle w:val="ListParagraph"/>
        <w:spacing w:after="0" w:line="480" w:lineRule="auto"/>
        <w:ind w:left="10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745E716" w:rsidP="5745E716" w:rsidRDefault="5745E716" w14:paraId="70BDBA6B" w14:textId="08A09267">
      <w:pPr>
        <w:pStyle w:val="ListParagraph"/>
        <w:spacing w:after="0" w:line="480" w:lineRule="auto"/>
        <w:ind w:left="10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745E716" w:rsidP="5745E716" w:rsidRDefault="5745E716" w14:paraId="7B6507D0" w14:textId="7F55F0E8">
      <w:pPr>
        <w:pStyle w:val="ListParagraph"/>
        <w:spacing w:after="0" w:line="480" w:lineRule="auto"/>
        <w:ind w:left="10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745E716" w:rsidP="5745E716" w:rsidRDefault="5745E716" w14:paraId="146F1A7E" w14:textId="7DB7EAC0">
      <w:pPr>
        <w:pStyle w:val="ListParagraph"/>
        <w:spacing w:after="0" w:line="480" w:lineRule="auto"/>
        <w:ind w:left="10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745E716" w:rsidP="5745E716" w:rsidRDefault="5745E716" w14:paraId="44383ADA" w14:textId="20A58FB2">
      <w:pPr>
        <w:pStyle w:val="ListParagraph"/>
        <w:spacing w:after="0" w:line="480" w:lineRule="auto"/>
        <w:ind w:left="10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745E716" w:rsidP="5745E716" w:rsidRDefault="5745E716" w14:paraId="2DE29E9F" w14:textId="4094FFD5">
      <w:pPr>
        <w:pStyle w:val="ListParagraph"/>
        <w:spacing w:after="0" w:line="480" w:lineRule="auto"/>
        <w:ind w:left="10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745E716" w:rsidP="5745E716" w:rsidRDefault="5745E716" w14:paraId="1D9FFCEF" w14:textId="1D86F00B">
      <w:pPr>
        <w:pStyle w:val="ListParagraph"/>
        <w:spacing w:after="0" w:line="480" w:lineRule="auto"/>
        <w:ind w:left="10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745E716" w:rsidP="5745E716" w:rsidRDefault="5745E716" w14:paraId="7C65284E" w14:textId="35EC18F6">
      <w:pPr>
        <w:pStyle w:val="ListParagraph"/>
        <w:spacing w:after="0" w:line="480" w:lineRule="auto"/>
        <w:ind w:left="10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745E716" w:rsidP="5745E716" w:rsidRDefault="5745E716" w14:paraId="4157F835" w14:textId="63AD914C">
      <w:pPr>
        <w:pStyle w:val="ListParagraph"/>
        <w:spacing w:after="0" w:line="480" w:lineRule="auto"/>
        <w:ind w:left="10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745E716" w:rsidP="5745E716" w:rsidRDefault="5745E716" w14:paraId="33333F37" w14:textId="2E7DA066">
      <w:pPr>
        <w:pStyle w:val="ListParagraph"/>
        <w:spacing w:after="0" w:line="480" w:lineRule="auto"/>
        <w:ind w:left="10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745E716" w:rsidP="5745E716" w:rsidRDefault="5745E716" w14:paraId="2A179F7F" w14:textId="2DDDA5CE">
      <w:pPr>
        <w:pStyle w:val="ListParagraph"/>
        <w:spacing w:after="0" w:line="480" w:lineRule="auto"/>
        <w:ind w:left="10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745E716" w:rsidP="5745E716" w:rsidRDefault="5745E716" w14:paraId="3B8BC474" w14:textId="24BA49D9">
      <w:pPr>
        <w:pStyle w:val="ListParagraph"/>
        <w:spacing w:after="0" w:line="480" w:lineRule="auto"/>
        <w:ind w:left="10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745E716" w:rsidP="5745E716" w:rsidRDefault="5745E716" w14:paraId="204944A9" w14:textId="2A3655FC">
      <w:pPr>
        <w:pStyle w:val="ListParagraph"/>
        <w:spacing w:after="0" w:line="480" w:lineRule="auto"/>
        <w:ind w:left="10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745E716" w:rsidP="5745E716" w:rsidRDefault="5745E716" w14:paraId="5B8285E3" w14:textId="17E6A958">
      <w:pPr>
        <w:pStyle w:val="ListParagraph"/>
        <w:spacing w:after="0" w:line="480" w:lineRule="auto"/>
        <w:ind w:left="10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C4B3FEF" w:rsidP="5745E716" w:rsidRDefault="0C4B3FEF" w14:paraId="3A08C547" w14:textId="2B4D9ADE">
      <w:pPr>
        <w:pStyle w:val="Bibliography"/>
        <w:spacing w:after="0" w:line="480" w:lineRule="auto"/>
        <w:ind w:left="720" w:hanging="72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Works Cited</w:t>
      </w:r>
    </w:p>
    <w:p w:rsidR="0C4B3FEF" w:rsidP="5745E716" w:rsidRDefault="0C4B3FEF" w14:paraId="0A45E1B7" w14:textId="1075728F">
      <w:pPr>
        <w:pStyle w:val="Bibliography"/>
        <w:spacing w:after="0" w:line="48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Aeschylus. </w:t>
      </w:r>
      <w:r w:rsidRPr="5745E716" w:rsidR="0C4B3FEF">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Aeschylus: Agamemnon, a New Translation</w:t>
      </w: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Translated by Sophie Grace Chappell, BLURB, 2024.</w:t>
      </w:r>
    </w:p>
    <w:p w:rsidR="0C4B3FEF" w:rsidP="5745E716" w:rsidRDefault="0C4B3FEF" w14:paraId="654D9459" w14:textId="0EB4167B">
      <w:pPr>
        <w:pStyle w:val="Bibliography"/>
        <w:spacing w:after="0" w:line="48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Coogan, Michael D., editor. </w:t>
      </w:r>
      <w:r w:rsidRPr="5745E716" w:rsidR="0C4B3FEF">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The New Oxford Annotated Bible New Revised Standard Version with the Apocrypha</w:t>
      </w: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Fourth Edition, Oxford University Press, 2022.</w:t>
      </w:r>
    </w:p>
    <w:p w:rsidR="0C4B3FEF" w:rsidP="5745E716" w:rsidRDefault="0C4B3FEF" w14:paraId="1A1D81DD" w14:textId="6B057766">
      <w:pPr>
        <w:pStyle w:val="Bibliography"/>
        <w:spacing w:after="0" w:line="48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James, William. </w:t>
      </w:r>
      <w:r w:rsidRPr="5745E716" w:rsidR="0C4B3FEF">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Is Life Worth Living?</w:t>
      </w: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 Burns Weston, 1896.</w:t>
      </w:r>
    </w:p>
    <w:p w:rsidR="0C4B3FEF" w:rsidP="5745E716" w:rsidRDefault="0C4B3FEF" w14:paraId="6367B639" w14:textId="5D2B26F7">
      <w:pPr>
        <w:pStyle w:val="Bibliography"/>
        <w:spacing w:after="0" w:line="48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Lucas, J. R. “Foreknowledge and the Vulnerability of God.” </w:t>
      </w:r>
      <w:r w:rsidRPr="5745E716" w:rsidR="0C4B3FEF">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Royal Institute of Philosophy Lecture Series</w:t>
      </w: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vol. 25, Mar. 1989, pp. 119–28. </w:t>
      </w:r>
      <w:r w:rsidRPr="5745E716" w:rsidR="0C4B3FEF">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DOI.org (Crossref)</w:t>
      </w: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hyperlink r:id="R7571535aa8d84b3a">
        <w:r w:rsidRPr="5745E716" w:rsidR="0C4B3FEF">
          <w:rPr>
            <w:rStyle w:val="Hyperlink"/>
            <w:b w:val="0"/>
            <w:bCs w:val="0"/>
            <w:i w:val="0"/>
            <w:iCs w:val="0"/>
            <w:caps w:val="0"/>
            <w:smallCaps w:val="0"/>
            <w:noProof w:val="0"/>
            <w:lang w:val="en-US"/>
          </w:rPr>
          <w:t>https://doi.org/10.1017/S0957042X00011287</w:t>
        </w:r>
      </w:hyperlink>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0C4B3FEF" w:rsidP="5745E716" w:rsidRDefault="0C4B3FEF" w14:paraId="1840B56C" w14:textId="0E9761AF">
      <w:pPr>
        <w:pStyle w:val="Bibliography"/>
        <w:spacing w:after="0" w:line="48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McCarthy, Cormac. </w:t>
      </w:r>
      <w:r w:rsidRPr="5745E716" w:rsidR="0C4B3FEF">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The Road</w:t>
      </w: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Knopf Doubleday Publishing Group, 2007. Vintage International Ser.</w:t>
      </w:r>
    </w:p>
    <w:p w:rsidR="0C4B3FEF" w:rsidP="5745E716" w:rsidRDefault="0C4B3FEF" w14:paraId="25216650" w14:textId="7B78C396">
      <w:pPr>
        <w:pStyle w:val="Bibliography"/>
        <w:spacing w:after="0" w:line="48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Morrison, Toni. </w:t>
      </w:r>
      <w:r w:rsidRPr="5745E716" w:rsidR="0C4B3FEF">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Beloved</w:t>
      </w: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First Vintage International Edition 2004, [Nachdr.], Vintage, 2010.</w:t>
      </w:r>
    </w:p>
    <w:p w:rsidR="0C4B3FEF" w:rsidP="5745E716" w:rsidRDefault="0C4B3FEF" w14:paraId="217BE52A" w14:textId="5A077C2E">
      <w:pPr>
        <w:pStyle w:val="Bibliography"/>
        <w:spacing w:after="0" w:line="48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Rilke, Rainer Maria. </w:t>
      </w:r>
      <w:r w:rsidRPr="5745E716" w:rsidR="0C4B3FEF">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Letters to a Young Poet</w:t>
      </w: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Translated by M. D. Herter Norton, W. W. Norton &amp; Company, 1963.</w:t>
      </w:r>
    </w:p>
    <w:p w:rsidR="0C4B3FEF" w:rsidP="5745E716" w:rsidRDefault="0C4B3FEF" w14:paraId="5E51E2D2" w14:textId="5A00765F">
      <w:pPr>
        <w:pStyle w:val="Bibliography"/>
        <w:spacing w:after="0" w:line="48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Robinson, Marilynne. </w:t>
      </w:r>
      <w:r w:rsidRPr="5745E716" w:rsidR="0C4B3FEF">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Gilead</w:t>
      </w:r>
      <w:r w:rsidRPr="5745E716" w:rsidR="0C4B3F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Repr., Picador, 2004.</w:t>
      </w:r>
    </w:p>
    <w:p w:rsidR="5745E716" w:rsidP="5745E716" w:rsidRDefault="5745E716" w14:paraId="5A45D5AB" w14:textId="104DFEB0">
      <w:pPr>
        <w:spacing w:after="0" w:line="480" w:lineRule="auto"/>
        <w:ind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745E716" w:rsidP="5745E716" w:rsidRDefault="5745E716" w14:paraId="2F6C39CC" w14:textId="17682F4D">
      <w:pPr>
        <w:pStyle w:val="ListParagraph"/>
        <w:spacing w:after="0" w:line="480" w:lineRule="auto"/>
        <w:ind w:left="10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sectPr>
      <w:pgSz w:w="11906" w:h="16838" w:orient="portrait"/>
      <w:pgMar w:top="1440" w:right="1440" w:bottom="1440" w:left="1440" w:header="720" w:footer="720" w:gutter="0"/>
      <w:cols w:space="720"/>
      <w:docGrid w:linePitch="360"/>
      <w:headerReference w:type="default" r:id="R2dd2f3c857074943"/>
      <w:headerReference w:type="first" r:id="R2cae137538414453"/>
      <w:footerReference w:type="default" r:id="R43d13a9a826b41db"/>
      <w:footerReference w:type="first" r:id="R70398288237b42ef"/>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745E716" w:rsidTr="5745E716" w14:paraId="006B27EB">
      <w:trPr>
        <w:trHeight w:val="300"/>
      </w:trPr>
      <w:tc>
        <w:tcPr>
          <w:tcW w:w="3005" w:type="dxa"/>
          <w:tcMar/>
        </w:tcPr>
        <w:p w:rsidR="5745E716" w:rsidP="5745E716" w:rsidRDefault="5745E716" w14:paraId="4E85BADE" w14:textId="37BF87FB">
          <w:pPr>
            <w:pStyle w:val="Header"/>
            <w:bidi w:val="0"/>
            <w:ind w:left="-115"/>
            <w:jc w:val="left"/>
          </w:pPr>
        </w:p>
      </w:tc>
      <w:tc>
        <w:tcPr>
          <w:tcW w:w="3005" w:type="dxa"/>
          <w:tcMar/>
        </w:tcPr>
        <w:p w:rsidR="5745E716" w:rsidP="5745E716" w:rsidRDefault="5745E716" w14:paraId="351752FD" w14:textId="047AE372">
          <w:pPr>
            <w:pStyle w:val="Header"/>
            <w:bidi w:val="0"/>
            <w:jc w:val="center"/>
          </w:pPr>
        </w:p>
      </w:tc>
      <w:tc>
        <w:tcPr>
          <w:tcW w:w="3005" w:type="dxa"/>
          <w:tcMar/>
        </w:tcPr>
        <w:p w:rsidR="5745E716" w:rsidP="5745E716" w:rsidRDefault="5745E716" w14:paraId="305B461A" w14:textId="53CD7277">
          <w:pPr>
            <w:pStyle w:val="Header"/>
            <w:bidi w:val="0"/>
            <w:ind w:right="-115"/>
            <w:jc w:val="right"/>
          </w:pPr>
        </w:p>
      </w:tc>
    </w:tr>
  </w:tbl>
  <w:p w:rsidR="5745E716" w:rsidP="5745E716" w:rsidRDefault="5745E716" w14:paraId="0F4CAD71" w14:textId="1787B22D">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745E716" w:rsidTr="5745E716" w14:paraId="1B5715BF">
      <w:trPr>
        <w:trHeight w:val="300"/>
      </w:trPr>
      <w:tc>
        <w:tcPr>
          <w:tcW w:w="3005" w:type="dxa"/>
          <w:tcMar/>
        </w:tcPr>
        <w:p w:rsidR="5745E716" w:rsidP="5745E716" w:rsidRDefault="5745E716" w14:paraId="758F97A7" w14:textId="7BBDC013">
          <w:pPr>
            <w:pStyle w:val="Header"/>
            <w:bidi w:val="0"/>
            <w:ind w:left="-115"/>
            <w:jc w:val="left"/>
          </w:pPr>
        </w:p>
      </w:tc>
      <w:tc>
        <w:tcPr>
          <w:tcW w:w="3005" w:type="dxa"/>
          <w:tcMar/>
        </w:tcPr>
        <w:p w:rsidR="5745E716" w:rsidP="5745E716" w:rsidRDefault="5745E716" w14:paraId="2907E397" w14:textId="33D217BC">
          <w:pPr>
            <w:pStyle w:val="Header"/>
            <w:bidi w:val="0"/>
            <w:jc w:val="center"/>
          </w:pPr>
        </w:p>
      </w:tc>
      <w:tc>
        <w:tcPr>
          <w:tcW w:w="3005" w:type="dxa"/>
          <w:tcMar/>
        </w:tcPr>
        <w:p w:rsidR="5745E716" w:rsidP="5745E716" w:rsidRDefault="5745E716" w14:paraId="3865B0F7" w14:textId="62FF62E7">
          <w:pPr>
            <w:pStyle w:val="Header"/>
            <w:bidi w:val="0"/>
            <w:ind w:right="-115"/>
            <w:jc w:val="right"/>
          </w:pPr>
        </w:p>
      </w:tc>
    </w:tr>
  </w:tbl>
  <w:p w:rsidR="5745E716" w:rsidP="5745E716" w:rsidRDefault="5745E716" w14:paraId="3C8BC548" w14:textId="7DA276A8">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745E716" w:rsidTr="5745E716" w14:paraId="112883B7">
      <w:trPr>
        <w:trHeight w:val="300"/>
      </w:trPr>
      <w:tc>
        <w:tcPr>
          <w:tcW w:w="3005" w:type="dxa"/>
          <w:tcMar/>
        </w:tcPr>
        <w:p w:rsidR="5745E716" w:rsidP="5745E716" w:rsidRDefault="5745E716" w14:paraId="5527132D" w14:textId="23185837">
          <w:pPr>
            <w:pStyle w:val="Header"/>
            <w:bidi w:val="0"/>
            <w:ind w:left="-115"/>
            <w:jc w:val="left"/>
          </w:pPr>
        </w:p>
      </w:tc>
      <w:tc>
        <w:tcPr>
          <w:tcW w:w="3005" w:type="dxa"/>
          <w:tcMar/>
        </w:tcPr>
        <w:p w:rsidR="5745E716" w:rsidP="5745E716" w:rsidRDefault="5745E716" w14:paraId="6DF4E397" w14:textId="0CAAB74A">
          <w:pPr>
            <w:pStyle w:val="Header"/>
            <w:bidi w:val="0"/>
            <w:jc w:val="center"/>
          </w:pPr>
        </w:p>
      </w:tc>
      <w:tc>
        <w:tcPr>
          <w:tcW w:w="3005" w:type="dxa"/>
          <w:tcMar/>
        </w:tcPr>
        <w:p w:rsidR="5745E716" w:rsidP="5745E716" w:rsidRDefault="5745E716" w14:paraId="0AE3823E" w14:textId="7A8BACD0">
          <w:pPr>
            <w:pStyle w:val="Header"/>
            <w:suppressLineNumbers w:val="0"/>
            <w:bidi w:val="0"/>
            <w:spacing w:before="0" w:beforeAutospacing="off" w:after="0" w:afterAutospacing="off" w:line="240" w:lineRule="auto"/>
            <w:ind w:left="0" w:right="-115"/>
            <w:jc w:val="right"/>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r w:rsidRPr="5745E716" w:rsidR="5745E716">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d’Evegnée</w:t>
          </w:r>
          <w:r w:rsidRPr="5745E716" w:rsidR="5745E716">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w:t>
          </w:r>
          <w:r w:rsidRPr="5745E716">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fldChar w:fldCharType="begin"/>
          </w:r>
          <w:r>
            <w:instrText xml:space="preserve">PAGE</w:instrText>
          </w:r>
          <w:r>
            <w:fldChar w:fldCharType="separate"/>
          </w:r>
          <w:r w:rsidRPr="5745E716">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fldChar w:fldCharType="end"/>
          </w:r>
        </w:p>
      </w:tc>
    </w:tr>
  </w:tbl>
  <w:p w:rsidR="5745E716" w:rsidP="5745E716" w:rsidRDefault="5745E716" w14:paraId="205C7681" w14:textId="64E6A53C">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745E716" w:rsidTr="5745E716" w14:paraId="04840198">
      <w:trPr>
        <w:trHeight w:val="300"/>
      </w:trPr>
      <w:tc>
        <w:tcPr>
          <w:tcW w:w="3005" w:type="dxa"/>
          <w:tcMar/>
        </w:tcPr>
        <w:p w:rsidR="5745E716" w:rsidP="5745E716" w:rsidRDefault="5745E716" w14:paraId="004514B6" w14:textId="2F8E6F9F">
          <w:pPr>
            <w:pStyle w:val="Header"/>
            <w:bidi w:val="0"/>
            <w:ind w:left="-115"/>
            <w:jc w:val="left"/>
          </w:pPr>
        </w:p>
      </w:tc>
      <w:tc>
        <w:tcPr>
          <w:tcW w:w="3005" w:type="dxa"/>
          <w:tcMar/>
        </w:tcPr>
        <w:p w:rsidR="5745E716" w:rsidP="5745E716" w:rsidRDefault="5745E716" w14:paraId="34E1A819" w14:textId="2C3E32A8">
          <w:pPr>
            <w:pStyle w:val="Header"/>
            <w:bidi w:val="0"/>
            <w:jc w:val="center"/>
          </w:pPr>
        </w:p>
      </w:tc>
      <w:tc>
        <w:tcPr>
          <w:tcW w:w="3005" w:type="dxa"/>
          <w:tcMar/>
        </w:tcPr>
        <w:p w:rsidR="5745E716" w:rsidP="5745E716" w:rsidRDefault="5745E716" w14:paraId="0B8FA82F" w14:textId="7F48F2BE">
          <w:pPr>
            <w:pStyle w:val="Header"/>
            <w:bidi w:val="0"/>
            <w:ind w:right="-115"/>
            <w:jc w:val="right"/>
          </w:pPr>
        </w:p>
      </w:tc>
    </w:tr>
  </w:tbl>
  <w:p w:rsidR="5745E716" w:rsidP="5745E716" w:rsidRDefault="5745E716" w14:paraId="3E7AB2A3" w14:textId="5242FA69">
    <w:pPr>
      <w:pStyle w:val="Header"/>
      <w:bidi w:val="0"/>
    </w:pPr>
  </w:p>
</w:hdr>
</file>

<file path=word/numbering.xml><?xml version="1.0" encoding="utf-8"?>
<w:numbering xmlns:w="http://schemas.openxmlformats.org/wordprocessingml/2006/main">
  <w:abstractNum xmlns:w="http://schemas.openxmlformats.org/wordprocessingml/2006/main" w:abstractNumId="1">
    <w:nsid w:val="2a70df69"/>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BF7339"/>
    <w:rsid w:val="0C4B3FEF"/>
    <w:rsid w:val="125B72B6"/>
    <w:rsid w:val="193D3E47"/>
    <w:rsid w:val="2BCEF222"/>
    <w:rsid w:val="38BF7339"/>
    <w:rsid w:val="3D654FBC"/>
    <w:rsid w:val="4B816E64"/>
    <w:rsid w:val="4B84D4B2"/>
    <w:rsid w:val="514F7DC1"/>
    <w:rsid w:val="5745E716"/>
    <w:rsid w:val="5811DC59"/>
    <w:rsid w:val="5854DAE9"/>
    <w:rsid w:val="5C78C359"/>
    <w:rsid w:val="6A09A171"/>
    <w:rsid w:val="6C407E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8DFBA"/>
  <w15:chartTrackingRefBased/>
  <w15:docId w15:val="{76175053-7A7D-4B43-A500-9AEB499DC2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5745E716"/>
    <w:pPr>
      <w:spacing/>
      <w:ind w:left="720"/>
      <w:contextualSpacing/>
    </w:pPr>
  </w:style>
  <w:style w:type="character" w:styleId="Hyperlink">
    <w:uiPriority w:val="99"/>
    <w:name w:val="Hyperlink"/>
    <w:basedOn w:val="DefaultParagraphFont"/>
    <w:unhideWhenUsed/>
    <w:rsid w:val="5745E716"/>
    <w:rPr>
      <w:color w:val="467886"/>
      <w:u w:val="single"/>
    </w:rPr>
  </w:style>
  <w:style w:type="paragraph" w:styleId="Bibliography">
    <w:uiPriority w:val="37"/>
    <w:name w:val="Bibliography"/>
    <w:basedOn w:val="Normal"/>
    <w:next w:val="Normal"/>
    <w:unhideWhenUsed/>
    <w:rsid w:val="5745E716"/>
  </w:style>
  <w:style w:type="paragraph" w:styleId="Header">
    <w:uiPriority w:val="99"/>
    <w:name w:val="header"/>
    <w:basedOn w:val="Normal"/>
    <w:unhideWhenUsed/>
    <w:rsid w:val="5745E716"/>
    <w:pPr>
      <w:tabs>
        <w:tab w:val="center" w:leader="none" w:pos="4680"/>
        <w:tab w:val="right" w:leader="none" w:pos="9360"/>
      </w:tabs>
      <w:spacing w:after="0" w:line="240" w:lineRule="auto"/>
    </w:pPr>
  </w:style>
  <w:style w:type="paragraph" w:styleId="Footer">
    <w:uiPriority w:val="99"/>
    <w:name w:val="footer"/>
    <w:basedOn w:val="Normal"/>
    <w:unhideWhenUsed/>
    <w:rsid w:val="5745E716"/>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doi.org/10.1017/S0957042X00011287" TargetMode="External" Id="R7571535aa8d84b3a" /><Relationship Type="http://schemas.openxmlformats.org/officeDocument/2006/relationships/header" Target="/word/header.xml" Id="R2dd2f3c857074943" /><Relationship Type="http://schemas.openxmlformats.org/officeDocument/2006/relationships/header" Target="/word/header2.xml" Id="R2cae137538414453" /><Relationship Type="http://schemas.openxmlformats.org/officeDocument/2006/relationships/footer" Target="/word/footer.xml" Id="R43d13a9a826b41db" /><Relationship Type="http://schemas.openxmlformats.org/officeDocument/2006/relationships/footer" Target="/word/footer2.xml" Id="R70398288237b42ef" /><Relationship Type="http://schemas.openxmlformats.org/officeDocument/2006/relationships/numbering" Target="/word/numbering.xml" Id="Rb59a670efa514ae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Dayana Herbas Cruz</dc:creator>
  <keywords/>
  <dc:description/>
  <lastModifiedBy>Dayana Herbas Cruz</lastModifiedBy>
  <revision>2</revision>
  <dcterms:created xsi:type="dcterms:W3CDTF">2026-08-07T19:55:07.0189658Z</dcterms:created>
  <dcterms:modified xsi:type="dcterms:W3CDTF">2026-08-07T20:01:57.7799503Z</dcterms:modified>
</coreProperties>
</file>